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 xml:space="preserve">La disposición adicional tercera. Deber de información de la </w:t>
      </w:r>
      <w:r>
        <w:rPr>
          <w:rFonts w:ascii="59omrdlftmxnvhq" w:hAnsi="59omrdlftmxnvhq" w:cs="59omrdlftmxnvhq"/>
          <w:color w:val="0066CD"/>
          <w:sz w:val="19"/>
          <w:szCs w:val="19"/>
        </w:rPr>
        <w:t>Ley 15/2010</w:t>
      </w:r>
      <w:r>
        <w:rPr>
          <w:rFonts w:ascii="59omrdlftmxnvhq" w:hAnsi="59omrdlftmxnvhq" w:cs="59omrdlftmxnvhq"/>
          <w:color w:val="000000"/>
          <w:sz w:val="19"/>
          <w:szCs w:val="19"/>
        </w:rPr>
        <w:t>, de 5 de julio, de modificación de la Ley 3/2004, de 29 de diciembre, por la que se establecen medidas de lucha contra la morosidad en las operaciones comerciales, señala:</w:t>
      </w:r>
    </w:p>
    <w:p w:rsidR="00CA6F77" w:rsidRDefault="00CA6F77" w:rsidP="00CA6F77">
      <w:pPr>
        <w:autoSpaceDE w:val="0"/>
        <w:autoSpaceDN w:val="0"/>
        <w:adjustRightInd w:val="0"/>
        <w:spacing w:after="0" w:line="240" w:lineRule="auto"/>
        <w:jc w:val="both"/>
        <w:rPr>
          <w:rFonts w:ascii="52mxkjgvhfdzgca,Bold" w:hAnsi="52mxkjgvhfdzgca,Bold" w:cs="52mxkjgvhfdzgca,Bold"/>
          <w:b/>
          <w:bCs/>
          <w:color w:val="000000"/>
          <w:sz w:val="19"/>
          <w:szCs w:val="19"/>
        </w:rPr>
      </w:pPr>
      <w:r>
        <w:rPr>
          <w:rFonts w:ascii="52mxkjgvhfdzgca,Bold" w:hAnsi="52mxkjgvhfdzgca,Bold" w:cs="52mxkjgvhfdzgca,Bold"/>
          <w:b/>
          <w:bCs/>
          <w:color w:val="000000"/>
          <w:sz w:val="19"/>
          <w:szCs w:val="19"/>
        </w:rPr>
        <w:t>«Las sociedades deberán publicar de forma expresa las informaciones sobre plazos de pago a sus proveedores en la Memoria de sus cuentas anuales.</w:t>
      </w:r>
    </w:p>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El Instituto de Contabilidad y Auditoría de Cuentas resolverá sobre la información oportuna a incorporar en la Memoria de Cuentas Anuales de las empresas para que, a partir de las correspondientes al ejercicio 2010, la Auditoría Contable contenga la información necesaria que acredite si los aplazamientos de pago efectuados se encuentren dentro de los límites indicados en esta Ley.»</w:t>
      </w:r>
    </w:p>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 xml:space="preserve">Considerando lo anterior, la presente Resolución tiene como objetivo dar cumplimiento al mandato expreso contenido en la citada </w:t>
      </w:r>
      <w:r>
        <w:rPr>
          <w:rFonts w:ascii="59omrdlftmxnvhq" w:hAnsi="59omrdlftmxnvhq" w:cs="59omrdlftmxnvhq"/>
          <w:color w:val="0066CD"/>
          <w:sz w:val="19"/>
          <w:szCs w:val="19"/>
        </w:rPr>
        <w:t>Ley 15/2010</w:t>
      </w:r>
      <w:r>
        <w:rPr>
          <w:rFonts w:ascii="59omrdlftmxnvhq" w:hAnsi="59omrdlftmxnvhq" w:cs="59omrdlftmxnvhq"/>
          <w:color w:val="000000"/>
          <w:sz w:val="19"/>
          <w:szCs w:val="19"/>
        </w:rPr>
        <w:t xml:space="preserve">, de 5 de julio, y es conforme con la habilitación general contenida en la disposición final tercera del Real Decreto 1514/2007, de 16 de noviembre, por el que se aprueba el Plan General de Contabilidad, que faculta al Instituto de Contabilidad y </w:t>
      </w:r>
      <w:proofErr w:type="spellStart"/>
      <w:r>
        <w:rPr>
          <w:rFonts w:ascii="59omrdlftmxnvhq" w:hAnsi="59omrdlftmxnvhq" w:cs="59omrdlftmxnvhq"/>
          <w:color w:val="000000"/>
          <w:sz w:val="19"/>
          <w:szCs w:val="19"/>
        </w:rPr>
        <w:t>Auditoria</w:t>
      </w:r>
      <w:proofErr w:type="spellEnd"/>
      <w:r>
        <w:rPr>
          <w:rFonts w:ascii="59omrdlftmxnvhq" w:hAnsi="59omrdlftmxnvhq" w:cs="59omrdlftmxnvhq"/>
          <w:color w:val="000000"/>
          <w:sz w:val="19"/>
          <w:szCs w:val="19"/>
        </w:rPr>
        <w:t xml:space="preserve"> de Cuentas (ICAC) a dictar normas de obligado cumplimiento en desarrollo del citado Plan, en particular, en relación con las normas de elaboración de las cuentas anuales.</w:t>
      </w:r>
    </w:p>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 xml:space="preserve">El ámbito de aplicación de la Resolución se regula en la norma primera en sintonía con el alcance definido en la disposición adicional tercera de la </w:t>
      </w:r>
      <w:r>
        <w:rPr>
          <w:rFonts w:ascii="59omrdlftmxnvhq" w:hAnsi="59omrdlftmxnvhq" w:cs="59omrdlftmxnvhq"/>
          <w:color w:val="0066CD"/>
          <w:sz w:val="19"/>
          <w:szCs w:val="19"/>
        </w:rPr>
        <w:t>Ley 15/2010</w:t>
      </w:r>
      <w:r>
        <w:rPr>
          <w:rFonts w:ascii="59omrdlftmxnvhq" w:hAnsi="59omrdlftmxnvhq" w:cs="59omrdlftmxnvhq"/>
          <w:color w:val="000000"/>
          <w:sz w:val="19"/>
          <w:szCs w:val="19"/>
        </w:rPr>
        <w:t>, de 5 de julio.</w:t>
      </w:r>
    </w:p>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A tal efecto, se considera como «empresa» a cualquier persona jurídica o empresario persona física que actúe en el ejercicio de su actividad independiente económica o profesional que deba elaborar cuentas anuales de acuerdo con nuestro Derecho contable o que las elabore voluntariamente.</w:t>
      </w:r>
    </w:p>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Hay que advertir que las empresas que formulen cuentas consolidadas también se incluyen en el ámbito de aplicación de esta Norma, si bien exclusivamente respecto a las empresas radicadas en España que se consolidan por el método de integración global o proporcional al margen del marco de información financiera en que se formulen las citadas cuentas.</w:t>
      </w:r>
    </w:p>
    <w:p w:rsid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 xml:space="preserve">La Resolución </w:t>
      </w:r>
      <w:r>
        <w:rPr>
          <w:rFonts w:ascii="52mxkjgvhfdzgca,Bold" w:hAnsi="52mxkjgvhfdzgca,Bold" w:cs="52mxkjgvhfdzgca,Bold"/>
          <w:b/>
          <w:bCs/>
          <w:color w:val="000000"/>
          <w:sz w:val="19"/>
          <w:szCs w:val="19"/>
        </w:rPr>
        <w:t>exige que se informe sobre el número de días en que la empresa ha superado el plazo legal de pago</w:t>
      </w:r>
      <w:r>
        <w:rPr>
          <w:rFonts w:ascii="59omrdlftmxnvhq" w:hAnsi="59omrdlftmxnvhq" w:cs="59omrdlftmxnvhq"/>
          <w:color w:val="000000"/>
          <w:sz w:val="19"/>
          <w:szCs w:val="19"/>
        </w:rPr>
        <w:t>.</w:t>
      </w:r>
    </w:p>
    <w:p w:rsidR="00CA6F77" w:rsidRPr="00CA6F77" w:rsidRDefault="00CA6F77" w:rsidP="00CA6F77">
      <w:pPr>
        <w:autoSpaceDE w:val="0"/>
        <w:autoSpaceDN w:val="0"/>
        <w:adjustRightInd w:val="0"/>
        <w:spacing w:after="0" w:line="240" w:lineRule="auto"/>
        <w:jc w:val="both"/>
        <w:rPr>
          <w:rFonts w:ascii="59omrdlftmxnvhq" w:hAnsi="59omrdlftmxnvhq" w:cs="59omrdlftmxnvhq"/>
          <w:color w:val="000000"/>
          <w:sz w:val="19"/>
          <w:szCs w:val="19"/>
        </w:rPr>
      </w:pPr>
      <w:r>
        <w:rPr>
          <w:rFonts w:ascii="59omrdlftmxnvhq" w:hAnsi="59omrdlftmxnvhq" w:cs="59omrdlftmxnvhq"/>
          <w:color w:val="000000"/>
          <w:sz w:val="19"/>
          <w:szCs w:val="19"/>
        </w:rPr>
        <w:t>Para ello, en la medida que la empresa puede tener que cumplir con distintos plazos legales en función de la naturaleza del bien, servicio de que se trate o actividad desarrollada, y al objeto de ponderar el citado incumplimiento se ha considerado oportuno emplear el indicador «Plazo medio ponderado excedido de pagos».</w:t>
      </w:r>
    </w:p>
    <w:p w:rsidR="00CA6F77" w:rsidRDefault="00CA6F77" w:rsidP="00CA6F77">
      <w:pPr>
        <w:autoSpaceDE w:val="0"/>
        <w:autoSpaceDN w:val="0"/>
        <w:adjustRightInd w:val="0"/>
        <w:spacing w:after="0" w:line="240" w:lineRule="auto"/>
        <w:jc w:val="both"/>
        <w:rPr>
          <w:rFonts w:ascii="Arial-BoldMT" w:hAnsi="Arial-BoldMT" w:cs="Arial-BoldMT"/>
          <w:b/>
          <w:bCs/>
          <w:sz w:val="24"/>
          <w:szCs w:val="24"/>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En la norma segunda se define este concepto, cuyo cálculo requiere computar el número de días de retraso sobre el plazo legal en cada uno de los pagos incumplidos y ponderarlo por el importe del respectivo pago, circunstancia que exige identificar el plazo legal de pago que, en cada caso, corresponda de acuerdo con lo dispuesto en la Ley 3/2004, de 29 de diciembre, y durante el periodo a que se extiende el régimen transitorio en la Ley 15/2010, de 5 de julio.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xml:space="preserve">Es conveniente precisar que el «Deber de información» afecta a las operaciones comerciales de pago. Es decir, a los acreedores comerciales incluidos en el correspondiente epígrafe del pasivo corriente del modelo de balance, por tanto, </w:t>
      </w:r>
      <w:r>
        <w:rPr>
          <w:rFonts w:ascii="52mxkjgvhfdzgca,Bold" w:hAnsi="52mxkjgvhfdzgca,Bold" w:cs="52mxkjgvhfdzgca,Bold"/>
          <w:b/>
          <w:bCs/>
          <w:sz w:val="19"/>
          <w:szCs w:val="19"/>
        </w:rPr>
        <w:t>la norma deja</w:t>
      </w:r>
      <w:r>
        <w:rPr>
          <w:rFonts w:ascii="59omrdlftmxnvhq" w:hAnsi="59omrdlftmxnvhq" w:cs="59omrdlftmxnvhq"/>
          <w:sz w:val="19"/>
          <w:szCs w:val="19"/>
        </w:rPr>
        <w:t xml:space="preserve"> </w:t>
      </w:r>
      <w:r>
        <w:rPr>
          <w:rFonts w:ascii="52mxkjgvhfdzgca,Bold" w:hAnsi="52mxkjgvhfdzgca,Bold" w:cs="52mxkjgvhfdzgca,Bold"/>
          <w:b/>
          <w:bCs/>
          <w:sz w:val="19"/>
          <w:szCs w:val="19"/>
        </w:rPr>
        <w:t xml:space="preserve">fuera </w:t>
      </w:r>
      <w:r>
        <w:rPr>
          <w:rFonts w:ascii="59omrdlftmxnvhq" w:hAnsi="59omrdlftmxnvhq" w:cs="59omrdlftmxnvhq"/>
          <w:sz w:val="19"/>
          <w:szCs w:val="19"/>
        </w:rPr>
        <w:t xml:space="preserve">de su ámbito objetivo de aplicación a los acreedores </w:t>
      </w:r>
      <w:r>
        <w:rPr>
          <w:rFonts w:ascii="52mxkjgvhfdzgca,Bold" w:hAnsi="52mxkjgvhfdzgca,Bold" w:cs="52mxkjgvhfdzgca,Bold"/>
          <w:b/>
          <w:bCs/>
          <w:sz w:val="19"/>
          <w:szCs w:val="19"/>
        </w:rPr>
        <w:t xml:space="preserve">o </w:t>
      </w:r>
      <w:r>
        <w:rPr>
          <w:rFonts w:ascii="59omrdlftmxnvhq" w:hAnsi="59omrdlftmxnvhq" w:cs="59omrdlftmxnvhq"/>
          <w:sz w:val="19"/>
          <w:szCs w:val="19"/>
        </w:rPr>
        <w:t xml:space="preserve">proveedores que no cumplen tal condición para el sujeto deudor que informa, como son </w:t>
      </w:r>
      <w:r>
        <w:rPr>
          <w:rFonts w:ascii="52mxkjgvhfdzgca,Bold" w:hAnsi="52mxkjgvhfdzgca,Bold" w:cs="52mxkjgvhfdzgca,Bold"/>
          <w:b/>
          <w:bCs/>
          <w:sz w:val="19"/>
          <w:szCs w:val="19"/>
        </w:rPr>
        <w:t>los proveedores de inmovilizado o los acreedores por arrendamiento financiero</w:t>
      </w:r>
      <w:r>
        <w:rPr>
          <w:rFonts w:ascii="59omrdlftmxnvhq" w:hAnsi="59omrdlftmxnvhq" w:cs="59omrdlftmxnvhq"/>
          <w:sz w:val="19"/>
          <w:szCs w:val="19"/>
        </w:rPr>
        <w:t>.</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La norma tercera recoge la información que se considera oportuna para poder apreciar el grado de cumplimiento de la Ley 3/2004, de 29 de diciembre. En particular las empresas que elaboren la memoria en el modelo normal deberán incluir en una nota independiente la siguiente información:</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Importe pagado fuera o dentro del plazo legal.</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Plazo medio ponderado excedido de pagos durante el ejercicio.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Saldo pendiente de pago al cierre del mismo que acumule un aplazamiento superior al permitido por la ley.</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xml:space="preserve">No obstante, como es usual en los restantes requerimientos contables, se ha estimado proporcionado, en razón de su magnitud, exigir un menor detalle de información contable a las pequeñas y medianas empresas. Siguiendo este criterio, las empresas que puedan elaborar la memoria </w:t>
      </w:r>
      <w:r>
        <w:rPr>
          <w:rFonts w:ascii="52mxkjgvhfdzgca,Bold" w:hAnsi="52mxkjgvhfdzgca,Bold" w:cs="52mxkjgvhfdzgca,Bold"/>
          <w:b/>
          <w:bCs/>
          <w:sz w:val="19"/>
          <w:szCs w:val="19"/>
        </w:rPr>
        <w:t>en modelo abreviado o que opten por la aplicación del Plan General de Contabilidad de</w:t>
      </w:r>
      <w:r>
        <w:rPr>
          <w:rFonts w:ascii="59omrdlftmxnvhq" w:hAnsi="59omrdlftmxnvhq" w:cs="59omrdlftmxnvhq"/>
          <w:sz w:val="19"/>
          <w:szCs w:val="19"/>
        </w:rPr>
        <w:t xml:space="preserve"> </w:t>
      </w:r>
      <w:r>
        <w:rPr>
          <w:rFonts w:ascii="52mxkjgvhfdzgca,Bold" w:hAnsi="52mxkjgvhfdzgca,Bold" w:cs="52mxkjgvhfdzgca,Bold"/>
          <w:b/>
          <w:bCs/>
          <w:sz w:val="19"/>
          <w:szCs w:val="19"/>
        </w:rPr>
        <w:t xml:space="preserve">Pequeñas y Medianas Empresas no estarán obligadas a informar del plazo medio ponderado excedido </w:t>
      </w:r>
      <w:r>
        <w:rPr>
          <w:rFonts w:ascii="59omrdlftmxnvhq" w:hAnsi="59omrdlftmxnvhq" w:cs="59omrdlftmxnvhq"/>
          <w:sz w:val="19"/>
          <w:szCs w:val="19"/>
        </w:rPr>
        <w:t>de pagos durante el ejercicio.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Finalmente, la disposición transitoria primera incorpora el régimen transitorio sobre el plazo legal de pago por remisión a lo previsto en la Ley 15/2010, de 5 de julio, en función de la naturaleza de la entrega de bienes o de la prestación de servicios que reciba la entidad.</w:t>
      </w:r>
    </w:p>
    <w:p w:rsidR="00CA6F77" w:rsidRDefault="00CA6F77" w:rsidP="00CA6F77">
      <w:pPr>
        <w:autoSpaceDE w:val="0"/>
        <w:autoSpaceDN w:val="0"/>
        <w:adjustRightInd w:val="0"/>
        <w:spacing w:after="0" w:line="240" w:lineRule="auto"/>
        <w:jc w:val="both"/>
        <w:rPr>
          <w:rFonts w:ascii="Arial-BoldMT" w:hAnsi="Arial-BoldMT" w:cs="Arial-BoldMT"/>
          <w:b/>
          <w:bCs/>
          <w:sz w:val="24"/>
          <w:szCs w:val="24"/>
        </w:rPr>
      </w:pPr>
    </w:p>
    <w:p w:rsidR="00CA6F77" w:rsidRDefault="00CA6F77" w:rsidP="00CA6F77">
      <w:pPr>
        <w:autoSpaceDE w:val="0"/>
        <w:autoSpaceDN w:val="0"/>
        <w:adjustRightInd w:val="0"/>
        <w:spacing w:after="0" w:line="240" w:lineRule="auto"/>
        <w:jc w:val="both"/>
        <w:rPr>
          <w:rFonts w:ascii="Arial-BoldMT" w:hAnsi="Arial-BoldMT" w:cs="Arial-BoldMT"/>
          <w:b/>
          <w:bCs/>
          <w:sz w:val="24"/>
          <w:szCs w:val="24"/>
        </w:rPr>
      </w:pPr>
    </w:p>
    <w:p w:rsidR="00CA6F77" w:rsidRPr="00CA6F77" w:rsidRDefault="00CA6F77" w:rsidP="00CA6F77">
      <w:pPr>
        <w:autoSpaceDE w:val="0"/>
        <w:autoSpaceDN w:val="0"/>
        <w:adjustRightInd w:val="0"/>
        <w:spacing w:after="0" w:line="240" w:lineRule="auto"/>
        <w:jc w:val="both"/>
        <w:rPr>
          <w:rFonts w:ascii="59omrdlftmxnvhq" w:hAnsi="59omrdlftmxnvhq" w:cs="59omrdlftmxnvhq"/>
          <w:b/>
          <w:sz w:val="19"/>
          <w:szCs w:val="19"/>
        </w:rPr>
      </w:pPr>
      <w:r w:rsidRPr="00CA6F77">
        <w:rPr>
          <w:rFonts w:ascii="59omrdlftmxnvhq" w:hAnsi="59omrdlftmxnvhq" w:cs="59omrdlftmxnvhq"/>
          <w:b/>
          <w:sz w:val="19"/>
          <w:szCs w:val="19"/>
        </w:rPr>
        <w:lastRenderedPageBreak/>
        <w:t>«Información sobre los aplazamientos de pago efectuados a proveedores. Disposición adicional tercera. «Deber de información» de la Ley 15/2010, de 5 de julio.»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Importe total de pagos realizados a los proveedores en el ejercicio, distinguiendo los que hayan excedido los límites legales de aplazamiento.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Plazo medio ponderado excedido de pagos.</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Importe del saldo pendiente de pago a proveedores, que al cierre del ejercicio acumule un aplazamiento superior al plazo legal de pago.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Esta información deberá suministrarse en el siguiente cuadro: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tbl>
      <w:tblPr>
        <w:tblW w:w="854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92"/>
        <w:gridCol w:w="1654"/>
        <w:gridCol w:w="551"/>
        <w:gridCol w:w="2189"/>
        <w:gridCol w:w="1560"/>
      </w:tblGrid>
      <w:tr w:rsidR="003E7297" w:rsidTr="0097211A">
        <w:tblPrEx>
          <w:tblCellMar>
            <w:top w:w="0" w:type="dxa"/>
            <w:bottom w:w="0" w:type="dxa"/>
          </w:tblCellMar>
        </w:tblPrEx>
        <w:trPr>
          <w:gridBefore w:val="1"/>
          <w:wBefore w:w="2592" w:type="dxa"/>
          <w:trHeight w:val="395"/>
        </w:trPr>
        <w:tc>
          <w:tcPr>
            <w:tcW w:w="5954" w:type="dxa"/>
            <w:gridSpan w:val="4"/>
          </w:tcPr>
          <w:p w:rsidR="003E7297" w:rsidRDefault="003E7297" w:rsidP="003E7297">
            <w:pPr>
              <w:autoSpaceDE w:val="0"/>
              <w:autoSpaceDN w:val="0"/>
              <w:adjustRightInd w:val="0"/>
              <w:spacing w:after="0" w:line="240" w:lineRule="auto"/>
              <w:rPr>
                <w:rFonts w:ascii="Calibri" w:hAnsi="Calibri" w:cs="Calibri"/>
                <w:sz w:val="20"/>
                <w:szCs w:val="20"/>
              </w:rPr>
            </w:pPr>
            <w:r>
              <w:rPr>
                <w:rFonts w:ascii="Calibri" w:hAnsi="Calibri" w:cs="Calibri"/>
                <w:sz w:val="20"/>
                <w:szCs w:val="20"/>
              </w:rPr>
              <w:t>Pagos realizados y pendientes de pago en la fecha de cierre del balance</w:t>
            </w:r>
          </w:p>
        </w:tc>
      </w:tr>
      <w:tr w:rsidR="003E7297" w:rsidTr="0097211A">
        <w:tblPrEx>
          <w:tblCellMar>
            <w:top w:w="0" w:type="dxa"/>
            <w:bottom w:w="0" w:type="dxa"/>
          </w:tblCellMar>
        </w:tblPrEx>
        <w:trPr>
          <w:gridBefore w:val="1"/>
          <w:wBefore w:w="2592" w:type="dxa"/>
          <w:trHeight w:val="497"/>
        </w:trPr>
        <w:tc>
          <w:tcPr>
            <w:tcW w:w="2205" w:type="dxa"/>
            <w:gridSpan w:val="2"/>
          </w:tcPr>
          <w:p w:rsidR="003E7297" w:rsidRDefault="003E7297" w:rsidP="003E7297">
            <w:pPr>
              <w:autoSpaceDE w:val="0"/>
              <w:autoSpaceDN w:val="0"/>
              <w:adjustRightInd w:val="0"/>
              <w:spacing w:after="0" w:line="240" w:lineRule="auto"/>
              <w:ind w:left="111" w:firstLine="708"/>
              <w:rPr>
                <w:rFonts w:ascii="Calibri" w:hAnsi="Calibri" w:cs="Calibri"/>
                <w:sz w:val="20"/>
                <w:szCs w:val="20"/>
              </w:rPr>
            </w:pPr>
            <w:r>
              <w:rPr>
                <w:rFonts w:ascii="Calibri" w:hAnsi="Calibri" w:cs="Calibri"/>
                <w:sz w:val="20"/>
                <w:szCs w:val="20"/>
              </w:rPr>
              <w:t>N</w:t>
            </w:r>
          </w:p>
          <w:p w:rsidR="003E7297" w:rsidRDefault="003E7297" w:rsidP="003E7297">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(Ejercicio actual)</w:t>
            </w:r>
          </w:p>
        </w:tc>
        <w:tc>
          <w:tcPr>
            <w:tcW w:w="3749" w:type="dxa"/>
            <w:gridSpan w:val="2"/>
          </w:tcPr>
          <w:p w:rsidR="003E7297" w:rsidRDefault="003E7297" w:rsidP="003E7297">
            <w:pPr>
              <w:autoSpaceDE w:val="0"/>
              <w:autoSpaceDN w:val="0"/>
              <w:adjustRightInd w:val="0"/>
              <w:spacing w:after="0" w:line="240" w:lineRule="auto"/>
              <w:ind w:left="130"/>
              <w:jc w:val="center"/>
              <w:rPr>
                <w:rFonts w:ascii="Calibri" w:hAnsi="Calibri" w:cs="Calibri"/>
                <w:sz w:val="20"/>
                <w:szCs w:val="20"/>
              </w:rPr>
            </w:pPr>
            <w:r>
              <w:rPr>
                <w:rFonts w:ascii="Calibri" w:hAnsi="Calibri" w:cs="Calibri"/>
                <w:sz w:val="20"/>
                <w:szCs w:val="20"/>
              </w:rPr>
              <w:t>N-1</w:t>
            </w:r>
          </w:p>
          <w:p w:rsidR="003E7297" w:rsidRDefault="003E7297" w:rsidP="003E7297">
            <w:pPr>
              <w:autoSpaceDE w:val="0"/>
              <w:autoSpaceDN w:val="0"/>
              <w:adjustRightInd w:val="0"/>
              <w:spacing w:after="0" w:line="240" w:lineRule="auto"/>
              <w:ind w:left="843"/>
              <w:rPr>
                <w:rFonts w:ascii="Calibri" w:hAnsi="Calibri" w:cs="Calibri"/>
                <w:sz w:val="20"/>
                <w:szCs w:val="20"/>
              </w:rPr>
            </w:pPr>
            <w:r>
              <w:rPr>
                <w:rFonts w:ascii="Calibri" w:hAnsi="Calibri" w:cs="Calibri"/>
                <w:sz w:val="20"/>
                <w:szCs w:val="20"/>
              </w:rPr>
              <w:t>(Ejercicio anterior)</w:t>
            </w:r>
          </w:p>
        </w:tc>
      </w:tr>
      <w:tr w:rsidR="003E7297" w:rsidTr="0097211A">
        <w:tblPrEx>
          <w:tblCellMar>
            <w:top w:w="0" w:type="dxa"/>
            <w:bottom w:w="0" w:type="dxa"/>
          </w:tblCellMar>
        </w:tblPrEx>
        <w:trPr>
          <w:gridBefore w:val="1"/>
          <w:wBefore w:w="2592" w:type="dxa"/>
          <w:trHeight w:val="395"/>
        </w:trPr>
        <w:tc>
          <w:tcPr>
            <w:tcW w:w="1654" w:type="dxa"/>
          </w:tcPr>
          <w:p w:rsidR="003E7297" w:rsidRDefault="003E7297" w:rsidP="00D1448C">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Importe</w:t>
            </w:r>
          </w:p>
          <w:p w:rsidR="003E7297" w:rsidRDefault="003E7297" w:rsidP="00D1448C">
            <w:pPr>
              <w:autoSpaceDE w:val="0"/>
              <w:autoSpaceDN w:val="0"/>
              <w:adjustRightInd w:val="0"/>
              <w:spacing w:after="0" w:line="240" w:lineRule="auto"/>
              <w:jc w:val="center"/>
              <w:rPr>
                <w:rFonts w:ascii="Calibri" w:hAnsi="Calibri" w:cs="Calibri"/>
                <w:sz w:val="20"/>
                <w:szCs w:val="20"/>
              </w:rPr>
            </w:pPr>
          </w:p>
        </w:tc>
        <w:tc>
          <w:tcPr>
            <w:tcW w:w="551" w:type="dxa"/>
          </w:tcPr>
          <w:p w:rsidR="003E7297" w:rsidRDefault="003E7297" w:rsidP="0097211A">
            <w:pPr>
              <w:rPr>
                <w:rFonts w:ascii="Calibri" w:hAnsi="Calibri" w:cs="Calibri"/>
                <w:sz w:val="20"/>
                <w:szCs w:val="20"/>
              </w:rPr>
            </w:pPr>
            <w:r>
              <w:rPr>
                <w:rFonts w:ascii="Calibri" w:hAnsi="Calibri" w:cs="Calibri"/>
                <w:sz w:val="20"/>
                <w:szCs w:val="20"/>
              </w:rPr>
              <w:t>% *</w:t>
            </w:r>
          </w:p>
        </w:tc>
        <w:tc>
          <w:tcPr>
            <w:tcW w:w="2189" w:type="dxa"/>
          </w:tcPr>
          <w:p w:rsidR="003E7297" w:rsidRDefault="003E7297" w:rsidP="003E7297">
            <w:pPr>
              <w:autoSpaceDE w:val="0"/>
              <w:autoSpaceDN w:val="0"/>
              <w:adjustRightInd w:val="0"/>
              <w:spacing w:after="0" w:line="240" w:lineRule="auto"/>
              <w:ind w:left="876"/>
              <w:rPr>
                <w:rFonts w:ascii="Calibri" w:hAnsi="Calibri" w:cs="Calibri"/>
                <w:sz w:val="20"/>
                <w:szCs w:val="20"/>
              </w:rPr>
            </w:pPr>
            <w:r>
              <w:rPr>
                <w:rFonts w:ascii="Calibri" w:hAnsi="Calibri" w:cs="Calibri"/>
                <w:sz w:val="20"/>
                <w:szCs w:val="20"/>
              </w:rPr>
              <w:t xml:space="preserve"> Importe</w:t>
            </w:r>
          </w:p>
          <w:p w:rsidR="003E7297" w:rsidRDefault="003E7297" w:rsidP="003E7297">
            <w:pPr>
              <w:autoSpaceDE w:val="0"/>
              <w:autoSpaceDN w:val="0"/>
              <w:adjustRightInd w:val="0"/>
              <w:spacing w:after="0" w:line="240" w:lineRule="auto"/>
              <w:rPr>
                <w:rFonts w:ascii="Calibri" w:hAnsi="Calibri" w:cs="Calibri"/>
                <w:sz w:val="20"/>
                <w:szCs w:val="20"/>
              </w:rPr>
            </w:pPr>
          </w:p>
        </w:tc>
        <w:tc>
          <w:tcPr>
            <w:tcW w:w="1560" w:type="dxa"/>
          </w:tcPr>
          <w:p w:rsidR="003E7297" w:rsidRDefault="003E7297" w:rsidP="003E7297">
            <w:pPr>
              <w:jc w:val="center"/>
              <w:rPr>
                <w:rFonts w:ascii="Calibri" w:hAnsi="Calibri" w:cs="Calibri"/>
                <w:sz w:val="20"/>
                <w:szCs w:val="20"/>
              </w:rPr>
            </w:pPr>
            <w:r>
              <w:rPr>
                <w:rFonts w:ascii="Calibri" w:hAnsi="Calibri" w:cs="Calibri"/>
                <w:sz w:val="20"/>
                <w:szCs w:val="20"/>
              </w:rPr>
              <w:t>% *</w:t>
            </w:r>
          </w:p>
        </w:tc>
      </w:tr>
      <w:tr w:rsidR="003E7297" w:rsidTr="0097211A">
        <w:tblPrEx>
          <w:tblCellMar>
            <w:top w:w="0" w:type="dxa"/>
            <w:bottom w:w="0" w:type="dxa"/>
          </w:tblCellMar>
        </w:tblPrEx>
        <w:trPr>
          <w:trHeight w:val="480"/>
        </w:trPr>
        <w:tc>
          <w:tcPr>
            <w:tcW w:w="2592" w:type="dxa"/>
          </w:tcPr>
          <w:p w:rsidR="003E7297" w:rsidRDefault="003E7297" w:rsidP="003E7297">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 Dentro del plazo máximo legal</w:t>
            </w:r>
          </w:p>
        </w:tc>
        <w:tc>
          <w:tcPr>
            <w:tcW w:w="1654" w:type="dxa"/>
            <w:shd w:val="clear" w:color="auto" w:fill="auto"/>
          </w:tcPr>
          <w:p w:rsidR="003E7297" w:rsidRDefault="003E7297" w:rsidP="003E7297">
            <w:pPr>
              <w:rPr>
                <w:rFonts w:ascii="Calibri" w:hAnsi="Calibri" w:cs="Calibri"/>
                <w:sz w:val="20"/>
                <w:szCs w:val="20"/>
              </w:rPr>
            </w:pPr>
          </w:p>
        </w:tc>
        <w:tc>
          <w:tcPr>
            <w:tcW w:w="551" w:type="dxa"/>
            <w:shd w:val="clear" w:color="auto" w:fill="auto"/>
          </w:tcPr>
          <w:p w:rsidR="003E7297" w:rsidRDefault="003E7297" w:rsidP="003E7297">
            <w:pPr>
              <w:rPr>
                <w:rFonts w:ascii="Calibri" w:hAnsi="Calibri" w:cs="Calibri"/>
                <w:sz w:val="20"/>
                <w:szCs w:val="20"/>
              </w:rPr>
            </w:pPr>
          </w:p>
        </w:tc>
        <w:tc>
          <w:tcPr>
            <w:tcW w:w="2189" w:type="dxa"/>
            <w:shd w:val="clear" w:color="auto" w:fill="auto"/>
          </w:tcPr>
          <w:p w:rsidR="003E7297" w:rsidRDefault="003E7297" w:rsidP="003E7297">
            <w:pPr>
              <w:rPr>
                <w:rFonts w:ascii="Calibri" w:hAnsi="Calibri" w:cs="Calibri"/>
                <w:sz w:val="20"/>
                <w:szCs w:val="20"/>
              </w:rPr>
            </w:pPr>
          </w:p>
        </w:tc>
        <w:tc>
          <w:tcPr>
            <w:tcW w:w="1560" w:type="dxa"/>
            <w:shd w:val="clear" w:color="auto" w:fill="auto"/>
          </w:tcPr>
          <w:p w:rsidR="003E7297" w:rsidRDefault="003E7297" w:rsidP="003E7297">
            <w:pPr>
              <w:rPr>
                <w:rFonts w:ascii="Calibri" w:hAnsi="Calibri" w:cs="Calibri"/>
                <w:sz w:val="20"/>
                <w:szCs w:val="20"/>
              </w:rPr>
            </w:pPr>
          </w:p>
        </w:tc>
      </w:tr>
      <w:tr w:rsidR="003E7297" w:rsidTr="0097211A">
        <w:tblPrEx>
          <w:tblCellMar>
            <w:top w:w="0" w:type="dxa"/>
            <w:bottom w:w="0" w:type="dxa"/>
          </w:tblCellMar>
        </w:tblPrEx>
        <w:trPr>
          <w:trHeight w:val="484"/>
        </w:trPr>
        <w:tc>
          <w:tcPr>
            <w:tcW w:w="2592" w:type="dxa"/>
          </w:tcPr>
          <w:p w:rsidR="003E7297" w:rsidRDefault="003E7297" w:rsidP="003E7297">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Resto</w:t>
            </w:r>
          </w:p>
          <w:p w:rsidR="003E7297" w:rsidRDefault="003E7297" w:rsidP="003E7297">
            <w:pPr>
              <w:autoSpaceDE w:val="0"/>
              <w:autoSpaceDN w:val="0"/>
              <w:adjustRightInd w:val="0"/>
              <w:spacing w:after="0" w:line="240" w:lineRule="auto"/>
              <w:ind w:left="182"/>
              <w:rPr>
                <w:rFonts w:ascii="Calibri" w:hAnsi="Calibri" w:cs="Calibri"/>
                <w:sz w:val="20"/>
                <w:szCs w:val="20"/>
              </w:rPr>
            </w:pPr>
          </w:p>
        </w:tc>
        <w:tc>
          <w:tcPr>
            <w:tcW w:w="1654" w:type="dxa"/>
            <w:shd w:val="clear" w:color="auto" w:fill="auto"/>
          </w:tcPr>
          <w:p w:rsidR="003E7297" w:rsidRDefault="003E7297" w:rsidP="003E7297">
            <w:pPr>
              <w:rPr>
                <w:rFonts w:ascii="Calibri" w:hAnsi="Calibri" w:cs="Calibri"/>
                <w:sz w:val="20"/>
                <w:szCs w:val="20"/>
              </w:rPr>
            </w:pPr>
          </w:p>
        </w:tc>
        <w:tc>
          <w:tcPr>
            <w:tcW w:w="551" w:type="dxa"/>
            <w:shd w:val="clear" w:color="auto" w:fill="auto"/>
          </w:tcPr>
          <w:p w:rsidR="003E7297" w:rsidRDefault="003E7297" w:rsidP="003E7297">
            <w:pPr>
              <w:rPr>
                <w:rFonts w:ascii="Calibri" w:hAnsi="Calibri" w:cs="Calibri"/>
                <w:sz w:val="20"/>
                <w:szCs w:val="20"/>
              </w:rPr>
            </w:pPr>
          </w:p>
        </w:tc>
        <w:tc>
          <w:tcPr>
            <w:tcW w:w="2189" w:type="dxa"/>
            <w:shd w:val="clear" w:color="auto" w:fill="auto"/>
          </w:tcPr>
          <w:p w:rsidR="003E7297" w:rsidRDefault="003E7297" w:rsidP="003E7297">
            <w:pPr>
              <w:rPr>
                <w:rFonts w:ascii="Calibri" w:hAnsi="Calibri" w:cs="Calibri"/>
                <w:sz w:val="20"/>
                <w:szCs w:val="20"/>
              </w:rPr>
            </w:pPr>
          </w:p>
        </w:tc>
        <w:tc>
          <w:tcPr>
            <w:tcW w:w="1560" w:type="dxa"/>
            <w:shd w:val="clear" w:color="auto" w:fill="auto"/>
          </w:tcPr>
          <w:p w:rsidR="003E7297" w:rsidRDefault="003E7297" w:rsidP="003E7297">
            <w:pPr>
              <w:rPr>
                <w:rFonts w:ascii="Calibri" w:hAnsi="Calibri" w:cs="Calibri"/>
                <w:sz w:val="20"/>
                <w:szCs w:val="20"/>
              </w:rPr>
            </w:pPr>
          </w:p>
        </w:tc>
      </w:tr>
      <w:tr w:rsidR="003E7297" w:rsidTr="0097211A">
        <w:tblPrEx>
          <w:tblCellMar>
            <w:top w:w="0" w:type="dxa"/>
            <w:bottom w:w="0" w:type="dxa"/>
          </w:tblCellMar>
        </w:tblPrEx>
        <w:trPr>
          <w:trHeight w:val="510"/>
        </w:trPr>
        <w:tc>
          <w:tcPr>
            <w:tcW w:w="2592" w:type="dxa"/>
          </w:tcPr>
          <w:p w:rsidR="003E7297" w:rsidRDefault="003E7297" w:rsidP="003E7297">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Total pagos del ejercicio</w:t>
            </w:r>
          </w:p>
          <w:p w:rsidR="003E7297" w:rsidRDefault="003E7297" w:rsidP="003E7297">
            <w:pPr>
              <w:autoSpaceDE w:val="0"/>
              <w:autoSpaceDN w:val="0"/>
              <w:adjustRightInd w:val="0"/>
              <w:spacing w:after="0" w:line="240" w:lineRule="auto"/>
              <w:rPr>
                <w:rFonts w:ascii="Calibri" w:hAnsi="Calibri" w:cs="Calibri"/>
                <w:sz w:val="20"/>
                <w:szCs w:val="20"/>
              </w:rPr>
            </w:pPr>
          </w:p>
        </w:tc>
        <w:tc>
          <w:tcPr>
            <w:tcW w:w="1654" w:type="dxa"/>
          </w:tcPr>
          <w:p w:rsidR="003E7297" w:rsidRDefault="003E7297" w:rsidP="00D1448C">
            <w:pPr>
              <w:autoSpaceDE w:val="0"/>
              <w:autoSpaceDN w:val="0"/>
              <w:adjustRightInd w:val="0"/>
              <w:spacing w:after="0" w:line="240" w:lineRule="auto"/>
              <w:ind w:left="1156"/>
              <w:rPr>
                <w:rFonts w:ascii="Calibri" w:hAnsi="Calibri" w:cs="Calibri"/>
                <w:sz w:val="20"/>
                <w:szCs w:val="20"/>
              </w:rPr>
            </w:pPr>
          </w:p>
        </w:tc>
        <w:tc>
          <w:tcPr>
            <w:tcW w:w="551" w:type="dxa"/>
          </w:tcPr>
          <w:p w:rsidR="003E7297" w:rsidRDefault="00D1448C">
            <w:pPr>
              <w:rPr>
                <w:rFonts w:ascii="Calibri" w:hAnsi="Calibri" w:cs="Calibri"/>
                <w:sz w:val="20"/>
                <w:szCs w:val="20"/>
              </w:rPr>
            </w:pPr>
            <w:r>
              <w:rPr>
                <w:rFonts w:ascii="Calibri" w:hAnsi="Calibri" w:cs="Calibri"/>
                <w:sz w:val="20"/>
                <w:szCs w:val="20"/>
              </w:rPr>
              <w:t>100</w:t>
            </w:r>
          </w:p>
          <w:p w:rsidR="003E7297" w:rsidRDefault="003E7297" w:rsidP="003E7297">
            <w:pPr>
              <w:autoSpaceDE w:val="0"/>
              <w:autoSpaceDN w:val="0"/>
              <w:adjustRightInd w:val="0"/>
              <w:spacing w:after="0" w:line="240" w:lineRule="auto"/>
              <w:rPr>
                <w:rFonts w:ascii="Calibri" w:hAnsi="Calibri" w:cs="Calibri"/>
                <w:sz w:val="20"/>
                <w:szCs w:val="20"/>
              </w:rPr>
            </w:pPr>
          </w:p>
        </w:tc>
        <w:tc>
          <w:tcPr>
            <w:tcW w:w="2189" w:type="dxa"/>
          </w:tcPr>
          <w:p w:rsidR="003E7297" w:rsidRDefault="003E7297" w:rsidP="00D1448C">
            <w:pPr>
              <w:autoSpaceDE w:val="0"/>
              <w:autoSpaceDN w:val="0"/>
              <w:adjustRightInd w:val="0"/>
              <w:spacing w:after="0" w:line="240" w:lineRule="auto"/>
              <w:ind w:left="838"/>
              <w:rPr>
                <w:rFonts w:ascii="Calibri" w:hAnsi="Calibri" w:cs="Calibri"/>
                <w:sz w:val="20"/>
                <w:szCs w:val="20"/>
              </w:rPr>
            </w:pPr>
          </w:p>
        </w:tc>
        <w:tc>
          <w:tcPr>
            <w:tcW w:w="1560" w:type="dxa"/>
          </w:tcPr>
          <w:p w:rsidR="003E7297" w:rsidRDefault="00D1448C">
            <w:pPr>
              <w:rPr>
                <w:rFonts w:ascii="Calibri" w:hAnsi="Calibri" w:cs="Calibri"/>
                <w:sz w:val="20"/>
                <w:szCs w:val="20"/>
              </w:rPr>
            </w:pPr>
            <w:r>
              <w:rPr>
                <w:rFonts w:ascii="Calibri" w:hAnsi="Calibri" w:cs="Calibri"/>
                <w:sz w:val="20"/>
                <w:szCs w:val="20"/>
              </w:rPr>
              <w:t>100</w:t>
            </w:r>
          </w:p>
          <w:p w:rsidR="003E7297" w:rsidRDefault="003E7297" w:rsidP="003E7297">
            <w:pPr>
              <w:autoSpaceDE w:val="0"/>
              <w:autoSpaceDN w:val="0"/>
              <w:adjustRightInd w:val="0"/>
              <w:spacing w:after="0" w:line="240" w:lineRule="auto"/>
              <w:rPr>
                <w:rFonts w:ascii="Calibri" w:hAnsi="Calibri" w:cs="Calibri"/>
                <w:sz w:val="20"/>
                <w:szCs w:val="20"/>
              </w:rPr>
            </w:pPr>
          </w:p>
        </w:tc>
      </w:tr>
      <w:tr w:rsidR="003E7297" w:rsidTr="0097211A">
        <w:tblPrEx>
          <w:tblCellMar>
            <w:top w:w="0" w:type="dxa"/>
            <w:bottom w:w="0" w:type="dxa"/>
          </w:tblCellMar>
        </w:tblPrEx>
        <w:trPr>
          <w:trHeight w:val="464"/>
        </w:trPr>
        <w:tc>
          <w:tcPr>
            <w:tcW w:w="2592" w:type="dxa"/>
          </w:tcPr>
          <w:p w:rsidR="003E7297" w:rsidRDefault="003E7297" w:rsidP="003E7297">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PMPE (días) de pagos</w:t>
            </w:r>
          </w:p>
          <w:p w:rsidR="003E7297" w:rsidRDefault="003E7297" w:rsidP="003E7297">
            <w:pPr>
              <w:autoSpaceDE w:val="0"/>
              <w:autoSpaceDN w:val="0"/>
              <w:adjustRightInd w:val="0"/>
              <w:spacing w:after="0" w:line="240" w:lineRule="auto"/>
              <w:ind w:left="182"/>
              <w:rPr>
                <w:rFonts w:ascii="Calibri" w:hAnsi="Calibri" w:cs="Calibri"/>
                <w:sz w:val="20"/>
                <w:szCs w:val="20"/>
              </w:rPr>
            </w:pPr>
          </w:p>
        </w:tc>
        <w:tc>
          <w:tcPr>
            <w:tcW w:w="1654" w:type="dxa"/>
          </w:tcPr>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rPr>
                <w:rFonts w:ascii="Calibri" w:hAnsi="Calibri" w:cs="Calibri"/>
                <w:sz w:val="20"/>
                <w:szCs w:val="20"/>
              </w:rPr>
            </w:pPr>
          </w:p>
        </w:tc>
        <w:tc>
          <w:tcPr>
            <w:tcW w:w="551" w:type="dxa"/>
          </w:tcPr>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rPr>
                <w:rFonts w:ascii="Calibri" w:hAnsi="Calibri" w:cs="Calibri"/>
                <w:sz w:val="20"/>
                <w:szCs w:val="20"/>
              </w:rPr>
            </w:pPr>
          </w:p>
        </w:tc>
        <w:tc>
          <w:tcPr>
            <w:tcW w:w="2189" w:type="dxa"/>
          </w:tcPr>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rPr>
                <w:rFonts w:ascii="Calibri" w:hAnsi="Calibri" w:cs="Calibri"/>
                <w:sz w:val="20"/>
                <w:szCs w:val="20"/>
              </w:rPr>
            </w:pPr>
          </w:p>
        </w:tc>
        <w:tc>
          <w:tcPr>
            <w:tcW w:w="1560" w:type="dxa"/>
          </w:tcPr>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rPr>
                <w:rFonts w:ascii="Calibri" w:hAnsi="Calibri" w:cs="Calibri"/>
                <w:sz w:val="20"/>
                <w:szCs w:val="20"/>
              </w:rPr>
            </w:pPr>
          </w:p>
        </w:tc>
      </w:tr>
      <w:tr w:rsidR="003E7297" w:rsidTr="0097211A">
        <w:tblPrEx>
          <w:tblCellMar>
            <w:top w:w="0" w:type="dxa"/>
            <w:bottom w:w="0" w:type="dxa"/>
          </w:tblCellMar>
        </w:tblPrEx>
        <w:trPr>
          <w:trHeight w:val="885"/>
        </w:trPr>
        <w:tc>
          <w:tcPr>
            <w:tcW w:w="2592" w:type="dxa"/>
          </w:tcPr>
          <w:p w:rsidR="003E7297" w:rsidRDefault="003E7297" w:rsidP="00D1448C">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Aplazamientos que a la fecha de</w:t>
            </w:r>
            <w:r w:rsidR="00D1448C">
              <w:rPr>
                <w:rFonts w:ascii="Calibri" w:hAnsi="Calibri" w:cs="Calibri"/>
                <w:sz w:val="20"/>
                <w:szCs w:val="20"/>
              </w:rPr>
              <w:t xml:space="preserve"> </w:t>
            </w:r>
            <w:r>
              <w:rPr>
                <w:rFonts w:ascii="Calibri" w:hAnsi="Calibri" w:cs="Calibri"/>
                <w:sz w:val="20"/>
                <w:szCs w:val="20"/>
              </w:rPr>
              <w:t>cierre sobrepasan el plazo máximo</w:t>
            </w:r>
            <w:r w:rsidR="00D1448C">
              <w:rPr>
                <w:rFonts w:ascii="Calibri" w:hAnsi="Calibri" w:cs="Calibri"/>
                <w:sz w:val="20"/>
                <w:szCs w:val="20"/>
              </w:rPr>
              <w:t xml:space="preserve"> </w:t>
            </w:r>
            <w:r>
              <w:rPr>
                <w:rFonts w:ascii="Calibri" w:hAnsi="Calibri" w:cs="Calibri"/>
                <w:sz w:val="20"/>
                <w:szCs w:val="20"/>
              </w:rPr>
              <w:t>legal.</w:t>
            </w:r>
          </w:p>
        </w:tc>
        <w:tc>
          <w:tcPr>
            <w:tcW w:w="1654" w:type="dxa"/>
          </w:tcPr>
          <w:p w:rsidR="003E7297" w:rsidRDefault="003E7297">
            <w:pPr>
              <w:rPr>
                <w:rFonts w:ascii="Calibri" w:hAnsi="Calibri" w:cs="Calibri"/>
                <w:sz w:val="20"/>
                <w:szCs w:val="20"/>
              </w:rPr>
            </w:pPr>
          </w:p>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jc w:val="both"/>
              <w:rPr>
                <w:rFonts w:ascii="Calibri" w:hAnsi="Calibri" w:cs="Calibri"/>
                <w:sz w:val="20"/>
                <w:szCs w:val="20"/>
              </w:rPr>
            </w:pPr>
          </w:p>
        </w:tc>
        <w:tc>
          <w:tcPr>
            <w:tcW w:w="551" w:type="dxa"/>
          </w:tcPr>
          <w:p w:rsidR="003E7297" w:rsidRDefault="003E7297">
            <w:pPr>
              <w:rPr>
                <w:rFonts w:ascii="Calibri" w:hAnsi="Calibri" w:cs="Calibri"/>
                <w:sz w:val="20"/>
                <w:szCs w:val="20"/>
              </w:rPr>
            </w:pPr>
          </w:p>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jc w:val="both"/>
              <w:rPr>
                <w:rFonts w:ascii="Calibri" w:hAnsi="Calibri" w:cs="Calibri"/>
                <w:sz w:val="20"/>
                <w:szCs w:val="20"/>
              </w:rPr>
            </w:pPr>
          </w:p>
        </w:tc>
        <w:tc>
          <w:tcPr>
            <w:tcW w:w="2189" w:type="dxa"/>
          </w:tcPr>
          <w:p w:rsidR="003E7297" w:rsidRDefault="003E7297">
            <w:pPr>
              <w:rPr>
                <w:rFonts w:ascii="Calibri" w:hAnsi="Calibri" w:cs="Calibri"/>
                <w:sz w:val="20"/>
                <w:szCs w:val="20"/>
              </w:rPr>
            </w:pPr>
          </w:p>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jc w:val="both"/>
              <w:rPr>
                <w:rFonts w:ascii="Calibri" w:hAnsi="Calibri" w:cs="Calibri"/>
                <w:sz w:val="20"/>
                <w:szCs w:val="20"/>
              </w:rPr>
            </w:pPr>
          </w:p>
        </w:tc>
        <w:tc>
          <w:tcPr>
            <w:tcW w:w="1560" w:type="dxa"/>
          </w:tcPr>
          <w:p w:rsidR="003E7297" w:rsidRDefault="003E7297">
            <w:pPr>
              <w:rPr>
                <w:rFonts w:ascii="Calibri" w:hAnsi="Calibri" w:cs="Calibri"/>
                <w:sz w:val="20"/>
                <w:szCs w:val="20"/>
              </w:rPr>
            </w:pPr>
          </w:p>
          <w:p w:rsidR="003E7297" w:rsidRDefault="003E7297">
            <w:pPr>
              <w:rPr>
                <w:rFonts w:ascii="Calibri" w:hAnsi="Calibri" w:cs="Calibri"/>
                <w:sz w:val="20"/>
                <w:szCs w:val="20"/>
              </w:rPr>
            </w:pPr>
          </w:p>
          <w:p w:rsidR="003E7297" w:rsidRDefault="003E7297" w:rsidP="003E7297">
            <w:pPr>
              <w:autoSpaceDE w:val="0"/>
              <w:autoSpaceDN w:val="0"/>
              <w:adjustRightInd w:val="0"/>
              <w:spacing w:after="0" w:line="240" w:lineRule="auto"/>
              <w:jc w:val="both"/>
              <w:rPr>
                <w:rFonts w:ascii="Calibri" w:hAnsi="Calibri" w:cs="Calibri"/>
                <w:sz w:val="20"/>
                <w:szCs w:val="20"/>
              </w:rPr>
            </w:pPr>
          </w:p>
        </w:tc>
      </w:tr>
    </w:tbl>
    <w:p w:rsidR="00CA6F77" w:rsidRDefault="00CA6F77" w:rsidP="00D1448C">
      <w:pPr>
        <w:pStyle w:val="Sinespaciado"/>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xml:space="preserve">** El plazo máximo legal de pago será, en cada caso, el que corresponda en función de la naturaleza del bien o servicio recibido por la empresa de acuerdo con lo dispuesto en la Ley 3/2004, </w:t>
      </w:r>
      <w:proofErr w:type="gramStart"/>
      <w:r>
        <w:rPr>
          <w:rFonts w:ascii="59omrdlftmxnvhq" w:hAnsi="59omrdlftmxnvhq" w:cs="59omrdlftmxnvhq"/>
          <w:sz w:val="19"/>
          <w:szCs w:val="19"/>
        </w:rPr>
        <w:t>de</w:t>
      </w:r>
      <w:proofErr w:type="gramEnd"/>
      <w:r>
        <w:rPr>
          <w:rFonts w:ascii="59omrdlftmxnvhq" w:hAnsi="59omrdlftmxnvhq" w:cs="59omrdlftmxnvhq"/>
          <w:sz w:val="19"/>
          <w:szCs w:val="19"/>
        </w:rPr>
        <w:t xml:space="preserve"> 29 de diciembre, por la que se establecen medidas de lucha contra la morosidad en las operaciones comerciales.</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xml:space="preserve">2. La información de las cuentas consolidadas estará referida a los proveedores del grupo como entidad que informa, una vez eliminados los créditos y débitos recíprocos de las empresas dependientes y, en su caso, los de las empresas </w:t>
      </w:r>
      <w:proofErr w:type="spellStart"/>
      <w:r>
        <w:rPr>
          <w:rFonts w:ascii="59omrdlftmxnvhq" w:hAnsi="59omrdlftmxnvhq" w:cs="59omrdlftmxnvhq"/>
          <w:sz w:val="19"/>
          <w:szCs w:val="19"/>
        </w:rPr>
        <w:t>multigrupo</w:t>
      </w:r>
      <w:proofErr w:type="spellEnd"/>
      <w:r>
        <w:rPr>
          <w:rFonts w:ascii="59omrdlftmxnvhq" w:hAnsi="59omrdlftmxnvhq" w:cs="59omrdlftmxnvhq"/>
          <w:sz w:val="19"/>
          <w:szCs w:val="19"/>
        </w:rPr>
        <w:t xml:space="preserve"> de acuerdo con lo dispuesto en las normas de consolidación que resulten aplicables. El cuadro solo recogerá la información correspondiente a las entidades españolas incluidas en el conjunto consolidable.</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3. Las empresas que elaboren la memoria en el modelo abreviado del Plan General de Contabilidad, o que opten por la aplicación del Plan General de Contabilidad de Pequeñas y Medianas Empresas incluirán una nota con la siguiente denominación y contenido: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Pr="00CA6F77" w:rsidRDefault="00CA6F77" w:rsidP="00CA6F77">
      <w:pPr>
        <w:autoSpaceDE w:val="0"/>
        <w:autoSpaceDN w:val="0"/>
        <w:adjustRightInd w:val="0"/>
        <w:spacing w:after="0" w:line="240" w:lineRule="auto"/>
        <w:jc w:val="both"/>
        <w:rPr>
          <w:rFonts w:ascii="59omrdlftmxnvhq" w:hAnsi="59omrdlftmxnvhq" w:cs="59omrdlftmxnvhq"/>
          <w:b/>
          <w:sz w:val="19"/>
          <w:szCs w:val="19"/>
        </w:rPr>
      </w:pPr>
      <w:r w:rsidRPr="00CA6F77">
        <w:rPr>
          <w:rFonts w:ascii="59omrdlftmxnvhq" w:hAnsi="59omrdlftmxnvhq" w:cs="59omrdlftmxnvhq"/>
          <w:b/>
          <w:sz w:val="19"/>
          <w:szCs w:val="19"/>
        </w:rPr>
        <w:t>«Información sobre los aplazamientos de pago efectuados a proveedores. Disposición adicional tercera. «Deber de</w:t>
      </w:r>
      <w:r>
        <w:rPr>
          <w:rFonts w:ascii="59omrdlftmxnvhq" w:hAnsi="59omrdlftmxnvhq" w:cs="59omrdlftmxnvhq"/>
          <w:b/>
          <w:sz w:val="19"/>
          <w:szCs w:val="19"/>
        </w:rPr>
        <w:t xml:space="preserve"> </w:t>
      </w:r>
      <w:r w:rsidRPr="00CA6F77">
        <w:rPr>
          <w:rFonts w:ascii="59omrdlftmxnvhq" w:hAnsi="59omrdlftmxnvhq" w:cs="59omrdlftmxnvhq"/>
          <w:b/>
          <w:sz w:val="19"/>
          <w:szCs w:val="19"/>
        </w:rPr>
        <w:t>información» de la Ley 15/2010, de 5 de julio.»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Importe total de pagos realizados a los proveedores en el ejercicio, distinguiendo los que hayan excedido los límites legales de aplazamiento.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Importe del saldo pendiente de pago a proveedores, que al cierre del ejercicio acumule un aplazamiento superior al plazo legal de pago.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Esta información deberá suministrarse en el siguiente cuadro:</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981190" w:rsidRDefault="00981190" w:rsidP="00CA6F77">
      <w:pPr>
        <w:autoSpaceDE w:val="0"/>
        <w:autoSpaceDN w:val="0"/>
        <w:adjustRightInd w:val="0"/>
        <w:spacing w:after="0" w:line="240" w:lineRule="auto"/>
        <w:jc w:val="both"/>
        <w:rPr>
          <w:rFonts w:ascii="59omrdlftmxnvhq" w:hAnsi="59omrdlftmxnvhq" w:cs="59omrdlftmxnvhq"/>
          <w:sz w:val="19"/>
          <w:szCs w:val="19"/>
        </w:rPr>
      </w:pPr>
    </w:p>
    <w:tbl>
      <w:tblPr>
        <w:tblW w:w="854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92"/>
        <w:gridCol w:w="1654"/>
        <w:gridCol w:w="551"/>
        <w:gridCol w:w="2189"/>
        <w:gridCol w:w="1560"/>
      </w:tblGrid>
      <w:tr w:rsidR="00981190" w:rsidTr="00683902">
        <w:tblPrEx>
          <w:tblCellMar>
            <w:top w:w="0" w:type="dxa"/>
            <w:bottom w:w="0" w:type="dxa"/>
          </w:tblCellMar>
        </w:tblPrEx>
        <w:trPr>
          <w:gridBefore w:val="1"/>
          <w:wBefore w:w="2592" w:type="dxa"/>
          <w:trHeight w:val="395"/>
        </w:trPr>
        <w:tc>
          <w:tcPr>
            <w:tcW w:w="5954" w:type="dxa"/>
            <w:gridSpan w:val="4"/>
          </w:tcPr>
          <w:p w:rsidR="00981190" w:rsidRDefault="00981190" w:rsidP="00683902">
            <w:pPr>
              <w:autoSpaceDE w:val="0"/>
              <w:autoSpaceDN w:val="0"/>
              <w:adjustRightInd w:val="0"/>
              <w:spacing w:after="0" w:line="240" w:lineRule="auto"/>
              <w:rPr>
                <w:rFonts w:ascii="Calibri" w:hAnsi="Calibri" w:cs="Calibri"/>
                <w:sz w:val="20"/>
                <w:szCs w:val="20"/>
              </w:rPr>
            </w:pPr>
            <w:r>
              <w:rPr>
                <w:rFonts w:ascii="Calibri" w:hAnsi="Calibri" w:cs="Calibri"/>
                <w:sz w:val="20"/>
                <w:szCs w:val="20"/>
              </w:rPr>
              <w:lastRenderedPageBreak/>
              <w:t>Pagos realizados y pendientes de pago en la fecha de cierre del balance</w:t>
            </w:r>
          </w:p>
        </w:tc>
      </w:tr>
      <w:tr w:rsidR="00981190" w:rsidTr="00683902">
        <w:tblPrEx>
          <w:tblCellMar>
            <w:top w:w="0" w:type="dxa"/>
            <w:bottom w:w="0" w:type="dxa"/>
          </w:tblCellMar>
        </w:tblPrEx>
        <w:trPr>
          <w:gridBefore w:val="1"/>
          <w:wBefore w:w="2592" w:type="dxa"/>
          <w:trHeight w:val="497"/>
        </w:trPr>
        <w:tc>
          <w:tcPr>
            <w:tcW w:w="2205" w:type="dxa"/>
            <w:gridSpan w:val="2"/>
          </w:tcPr>
          <w:p w:rsidR="00981190" w:rsidRDefault="00981190" w:rsidP="00683902">
            <w:pPr>
              <w:autoSpaceDE w:val="0"/>
              <w:autoSpaceDN w:val="0"/>
              <w:adjustRightInd w:val="0"/>
              <w:spacing w:after="0" w:line="240" w:lineRule="auto"/>
              <w:ind w:left="111" w:firstLine="708"/>
              <w:rPr>
                <w:rFonts w:ascii="Calibri" w:hAnsi="Calibri" w:cs="Calibri"/>
                <w:sz w:val="20"/>
                <w:szCs w:val="20"/>
              </w:rPr>
            </w:pPr>
            <w:r>
              <w:rPr>
                <w:rFonts w:ascii="Calibri" w:hAnsi="Calibri" w:cs="Calibri"/>
                <w:sz w:val="20"/>
                <w:szCs w:val="20"/>
              </w:rPr>
              <w:t>N</w:t>
            </w:r>
          </w:p>
          <w:p w:rsidR="00981190" w:rsidRDefault="00981190"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(Ejercicio actual)</w:t>
            </w:r>
          </w:p>
        </w:tc>
        <w:tc>
          <w:tcPr>
            <w:tcW w:w="3749" w:type="dxa"/>
            <w:gridSpan w:val="2"/>
          </w:tcPr>
          <w:p w:rsidR="00981190" w:rsidRDefault="00981190" w:rsidP="00683902">
            <w:pPr>
              <w:autoSpaceDE w:val="0"/>
              <w:autoSpaceDN w:val="0"/>
              <w:adjustRightInd w:val="0"/>
              <w:spacing w:after="0" w:line="240" w:lineRule="auto"/>
              <w:ind w:left="130"/>
              <w:jc w:val="center"/>
              <w:rPr>
                <w:rFonts w:ascii="Calibri" w:hAnsi="Calibri" w:cs="Calibri"/>
                <w:sz w:val="20"/>
                <w:szCs w:val="20"/>
              </w:rPr>
            </w:pPr>
            <w:r>
              <w:rPr>
                <w:rFonts w:ascii="Calibri" w:hAnsi="Calibri" w:cs="Calibri"/>
                <w:sz w:val="20"/>
                <w:szCs w:val="20"/>
              </w:rPr>
              <w:t>N-1</w:t>
            </w:r>
          </w:p>
          <w:p w:rsidR="00981190" w:rsidRDefault="00981190" w:rsidP="00683902">
            <w:pPr>
              <w:autoSpaceDE w:val="0"/>
              <w:autoSpaceDN w:val="0"/>
              <w:adjustRightInd w:val="0"/>
              <w:spacing w:after="0" w:line="240" w:lineRule="auto"/>
              <w:ind w:left="843"/>
              <w:rPr>
                <w:rFonts w:ascii="Calibri" w:hAnsi="Calibri" w:cs="Calibri"/>
                <w:sz w:val="20"/>
                <w:szCs w:val="20"/>
              </w:rPr>
            </w:pPr>
            <w:r>
              <w:rPr>
                <w:rFonts w:ascii="Calibri" w:hAnsi="Calibri" w:cs="Calibri"/>
                <w:sz w:val="20"/>
                <w:szCs w:val="20"/>
              </w:rPr>
              <w:t>(Ejercicio anterior)</w:t>
            </w:r>
          </w:p>
        </w:tc>
      </w:tr>
      <w:tr w:rsidR="00981190" w:rsidTr="00683902">
        <w:tblPrEx>
          <w:tblCellMar>
            <w:top w:w="0" w:type="dxa"/>
            <w:bottom w:w="0" w:type="dxa"/>
          </w:tblCellMar>
        </w:tblPrEx>
        <w:trPr>
          <w:gridBefore w:val="1"/>
          <w:wBefore w:w="2592" w:type="dxa"/>
          <w:trHeight w:val="395"/>
        </w:trPr>
        <w:tc>
          <w:tcPr>
            <w:tcW w:w="1654" w:type="dxa"/>
          </w:tcPr>
          <w:p w:rsidR="00981190" w:rsidRDefault="00981190"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Importe</w:t>
            </w:r>
          </w:p>
          <w:p w:rsidR="00981190" w:rsidRDefault="00981190" w:rsidP="00683902">
            <w:pPr>
              <w:autoSpaceDE w:val="0"/>
              <w:autoSpaceDN w:val="0"/>
              <w:adjustRightInd w:val="0"/>
              <w:spacing w:after="0" w:line="240" w:lineRule="auto"/>
              <w:jc w:val="center"/>
              <w:rPr>
                <w:rFonts w:ascii="Calibri" w:hAnsi="Calibri" w:cs="Calibri"/>
                <w:sz w:val="20"/>
                <w:szCs w:val="20"/>
              </w:rPr>
            </w:pPr>
          </w:p>
        </w:tc>
        <w:tc>
          <w:tcPr>
            <w:tcW w:w="551" w:type="dxa"/>
          </w:tcPr>
          <w:p w:rsidR="00981190" w:rsidRDefault="00981190" w:rsidP="00683902">
            <w:pPr>
              <w:rPr>
                <w:rFonts w:ascii="Calibri" w:hAnsi="Calibri" w:cs="Calibri"/>
                <w:sz w:val="20"/>
                <w:szCs w:val="20"/>
              </w:rPr>
            </w:pPr>
            <w:r>
              <w:rPr>
                <w:rFonts w:ascii="Calibri" w:hAnsi="Calibri" w:cs="Calibri"/>
                <w:sz w:val="20"/>
                <w:szCs w:val="20"/>
              </w:rPr>
              <w:t>% *</w:t>
            </w:r>
          </w:p>
        </w:tc>
        <w:tc>
          <w:tcPr>
            <w:tcW w:w="2189" w:type="dxa"/>
          </w:tcPr>
          <w:p w:rsidR="00981190" w:rsidRDefault="00981190" w:rsidP="00683902">
            <w:pPr>
              <w:autoSpaceDE w:val="0"/>
              <w:autoSpaceDN w:val="0"/>
              <w:adjustRightInd w:val="0"/>
              <w:spacing w:after="0" w:line="240" w:lineRule="auto"/>
              <w:ind w:left="876"/>
              <w:rPr>
                <w:rFonts w:ascii="Calibri" w:hAnsi="Calibri" w:cs="Calibri"/>
                <w:sz w:val="20"/>
                <w:szCs w:val="20"/>
              </w:rPr>
            </w:pPr>
            <w:r>
              <w:rPr>
                <w:rFonts w:ascii="Calibri" w:hAnsi="Calibri" w:cs="Calibri"/>
                <w:sz w:val="20"/>
                <w:szCs w:val="20"/>
              </w:rPr>
              <w:t xml:space="preserve"> Importe</w:t>
            </w:r>
          </w:p>
          <w:p w:rsidR="00981190" w:rsidRDefault="00981190" w:rsidP="00683902">
            <w:pPr>
              <w:autoSpaceDE w:val="0"/>
              <w:autoSpaceDN w:val="0"/>
              <w:adjustRightInd w:val="0"/>
              <w:spacing w:after="0" w:line="240" w:lineRule="auto"/>
              <w:rPr>
                <w:rFonts w:ascii="Calibri" w:hAnsi="Calibri" w:cs="Calibri"/>
                <w:sz w:val="20"/>
                <w:szCs w:val="20"/>
              </w:rPr>
            </w:pPr>
          </w:p>
        </w:tc>
        <w:tc>
          <w:tcPr>
            <w:tcW w:w="1560" w:type="dxa"/>
          </w:tcPr>
          <w:p w:rsidR="00981190" w:rsidRDefault="00981190" w:rsidP="00683902">
            <w:pPr>
              <w:jc w:val="center"/>
              <w:rPr>
                <w:rFonts w:ascii="Calibri" w:hAnsi="Calibri" w:cs="Calibri"/>
                <w:sz w:val="20"/>
                <w:szCs w:val="20"/>
              </w:rPr>
            </w:pPr>
            <w:r>
              <w:rPr>
                <w:rFonts w:ascii="Calibri" w:hAnsi="Calibri" w:cs="Calibri"/>
                <w:sz w:val="20"/>
                <w:szCs w:val="20"/>
              </w:rPr>
              <w:t>% *</w:t>
            </w:r>
          </w:p>
        </w:tc>
      </w:tr>
      <w:tr w:rsidR="00981190" w:rsidTr="00683902">
        <w:tblPrEx>
          <w:tblCellMar>
            <w:top w:w="0" w:type="dxa"/>
            <w:bottom w:w="0" w:type="dxa"/>
          </w:tblCellMar>
        </w:tblPrEx>
        <w:trPr>
          <w:trHeight w:val="480"/>
        </w:trPr>
        <w:tc>
          <w:tcPr>
            <w:tcW w:w="2592" w:type="dxa"/>
          </w:tcPr>
          <w:p w:rsidR="00981190" w:rsidRDefault="00981190"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 Dentro del plazo máximo legal</w:t>
            </w:r>
          </w:p>
        </w:tc>
        <w:tc>
          <w:tcPr>
            <w:tcW w:w="1654" w:type="dxa"/>
            <w:shd w:val="clear" w:color="auto" w:fill="auto"/>
          </w:tcPr>
          <w:p w:rsidR="00981190" w:rsidRDefault="00981190" w:rsidP="00683902">
            <w:pPr>
              <w:rPr>
                <w:rFonts w:ascii="Calibri" w:hAnsi="Calibri" w:cs="Calibri"/>
                <w:sz w:val="20"/>
                <w:szCs w:val="20"/>
              </w:rPr>
            </w:pPr>
          </w:p>
        </w:tc>
        <w:tc>
          <w:tcPr>
            <w:tcW w:w="551" w:type="dxa"/>
            <w:shd w:val="clear" w:color="auto" w:fill="auto"/>
          </w:tcPr>
          <w:p w:rsidR="00981190" w:rsidRDefault="00981190" w:rsidP="00683902">
            <w:pPr>
              <w:rPr>
                <w:rFonts w:ascii="Calibri" w:hAnsi="Calibri" w:cs="Calibri"/>
                <w:sz w:val="20"/>
                <w:szCs w:val="20"/>
              </w:rPr>
            </w:pPr>
          </w:p>
        </w:tc>
        <w:tc>
          <w:tcPr>
            <w:tcW w:w="2189" w:type="dxa"/>
            <w:shd w:val="clear" w:color="auto" w:fill="auto"/>
          </w:tcPr>
          <w:p w:rsidR="00981190" w:rsidRDefault="00981190" w:rsidP="00683902">
            <w:pPr>
              <w:rPr>
                <w:rFonts w:ascii="Calibri" w:hAnsi="Calibri" w:cs="Calibri"/>
                <w:sz w:val="20"/>
                <w:szCs w:val="20"/>
              </w:rPr>
            </w:pPr>
          </w:p>
        </w:tc>
        <w:tc>
          <w:tcPr>
            <w:tcW w:w="1560" w:type="dxa"/>
            <w:shd w:val="clear" w:color="auto" w:fill="auto"/>
          </w:tcPr>
          <w:p w:rsidR="00981190" w:rsidRDefault="00981190" w:rsidP="00683902">
            <w:pPr>
              <w:rPr>
                <w:rFonts w:ascii="Calibri" w:hAnsi="Calibri" w:cs="Calibri"/>
                <w:sz w:val="20"/>
                <w:szCs w:val="20"/>
              </w:rPr>
            </w:pPr>
          </w:p>
        </w:tc>
      </w:tr>
      <w:tr w:rsidR="00981190" w:rsidTr="00683902">
        <w:tblPrEx>
          <w:tblCellMar>
            <w:top w:w="0" w:type="dxa"/>
            <w:bottom w:w="0" w:type="dxa"/>
          </w:tblCellMar>
        </w:tblPrEx>
        <w:trPr>
          <w:trHeight w:val="484"/>
        </w:trPr>
        <w:tc>
          <w:tcPr>
            <w:tcW w:w="2592" w:type="dxa"/>
          </w:tcPr>
          <w:p w:rsidR="00981190" w:rsidRDefault="00981190"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Resto</w:t>
            </w:r>
          </w:p>
          <w:p w:rsidR="00981190" w:rsidRDefault="00981190" w:rsidP="00683902">
            <w:pPr>
              <w:autoSpaceDE w:val="0"/>
              <w:autoSpaceDN w:val="0"/>
              <w:adjustRightInd w:val="0"/>
              <w:spacing w:after="0" w:line="240" w:lineRule="auto"/>
              <w:ind w:left="182"/>
              <w:rPr>
                <w:rFonts w:ascii="Calibri" w:hAnsi="Calibri" w:cs="Calibri"/>
                <w:sz w:val="20"/>
                <w:szCs w:val="20"/>
              </w:rPr>
            </w:pPr>
          </w:p>
        </w:tc>
        <w:tc>
          <w:tcPr>
            <w:tcW w:w="1654" w:type="dxa"/>
            <w:shd w:val="clear" w:color="auto" w:fill="auto"/>
          </w:tcPr>
          <w:p w:rsidR="00981190" w:rsidRDefault="00981190" w:rsidP="00683902">
            <w:pPr>
              <w:rPr>
                <w:rFonts w:ascii="Calibri" w:hAnsi="Calibri" w:cs="Calibri"/>
                <w:sz w:val="20"/>
                <w:szCs w:val="20"/>
              </w:rPr>
            </w:pPr>
          </w:p>
        </w:tc>
        <w:tc>
          <w:tcPr>
            <w:tcW w:w="551" w:type="dxa"/>
            <w:shd w:val="clear" w:color="auto" w:fill="auto"/>
          </w:tcPr>
          <w:p w:rsidR="00981190" w:rsidRDefault="00981190" w:rsidP="00683902">
            <w:pPr>
              <w:rPr>
                <w:rFonts w:ascii="Calibri" w:hAnsi="Calibri" w:cs="Calibri"/>
                <w:sz w:val="20"/>
                <w:szCs w:val="20"/>
              </w:rPr>
            </w:pPr>
          </w:p>
        </w:tc>
        <w:tc>
          <w:tcPr>
            <w:tcW w:w="2189" w:type="dxa"/>
            <w:shd w:val="clear" w:color="auto" w:fill="auto"/>
          </w:tcPr>
          <w:p w:rsidR="00981190" w:rsidRDefault="00981190" w:rsidP="00683902">
            <w:pPr>
              <w:rPr>
                <w:rFonts w:ascii="Calibri" w:hAnsi="Calibri" w:cs="Calibri"/>
                <w:sz w:val="20"/>
                <w:szCs w:val="20"/>
              </w:rPr>
            </w:pPr>
          </w:p>
        </w:tc>
        <w:tc>
          <w:tcPr>
            <w:tcW w:w="1560" w:type="dxa"/>
            <w:shd w:val="clear" w:color="auto" w:fill="auto"/>
          </w:tcPr>
          <w:p w:rsidR="00981190" w:rsidRDefault="00981190" w:rsidP="00683902">
            <w:pPr>
              <w:rPr>
                <w:rFonts w:ascii="Calibri" w:hAnsi="Calibri" w:cs="Calibri"/>
                <w:sz w:val="20"/>
                <w:szCs w:val="20"/>
              </w:rPr>
            </w:pPr>
          </w:p>
        </w:tc>
      </w:tr>
      <w:tr w:rsidR="00981190" w:rsidTr="00683902">
        <w:tblPrEx>
          <w:tblCellMar>
            <w:top w:w="0" w:type="dxa"/>
            <w:bottom w:w="0" w:type="dxa"/>
          </w:tblCellMar>
        </w:tblPrEx>
        <w:trPr>
          <w:trHeight w:val="510"/>
        </w:trPr>
        <w:tc>
          <w:tcPr>
            <w:tcW w:w="2592" w:type="dxa"/>
          </w:tcPr>
          <w:p w:rsidR="00981190" w:rsidRDefault="00981190"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Total pagos del ejercicio</w:t>
            </w:r>
          </w:p>
          <w:p w:rsidR="00981190" w:rsidRDefault="00981190" w:rsidP="00683902">
            <w:pPr>
              <w:autoSpaceDE w:val="0"/>
              <w:autoSpaceDN w:val="0"/>
              <w:adjustRightInd w:val="0"/>
              <w:spacing w:after="0" w:line="240" w:lineRule="auto"/>
              <w:rPr>
                <w:rFonts w:ascii="Calibri" w:hAnsi="Calibri" w:cs="Calibri"/>
                <w:sz w:val="20"/>
                <w:szCs w:val="20"/>
              </w:rPr>
            </w:pPr>
          </w:p>
        </w:tc>
        <w:tc>
          <w:tcPr>
            <w:tcW w:w="1654" w:type="dxa"/>
          </w:tcPr>
          <w:p w:rsidR="00981190" w:rsidRDefault="00981190" w:rsidP="00683902">
            <w:pPr>
              <w:autoSpaceDE w:val="0"/>
              <w:autoSpaceDN w:val="0"/>
              <w:adjustRightInd w:val="0"/>
              <w:spacing w:after="0" w:line="240" w:lineRule="auto"/>
              <w:ind w:left="1156"/>
              <w:rPr>
                <w:rFonts w:ascii="Calibri" w:hAnsi="Calibri" w:cs="Calibri"/>
                <w:sz w:val="20"/>
                <w:szCs w:val="20"/>
              </w:rPr>
            </w:pPr>
          </w:p>
        </w:tc>
        <w:tc>
          <w:tcPr>
            <w:tcW w:w="551" w:type="dxa"/>
          </w:tcPr>
          <w:p w:rsidR="00981190" w:rsidRDefault="00981190" w:rsidP="00683902">
            <w:pPr>
              <w:rPr>
                <w:rFonts w:ascii="Calibri" w:hAnsi="Calibri" w:cs="Calibri"/>
                <w:sz w:val="20"/>
                <w:szCs w:val="20"/>
              </w:rPr>
            </w:pPr>
            <w:r>
              <w:rPr>
                <w:rFonts w:ascii="Calibri" w:hAnsi="Calibri" w:cs="Calibri"/>
                <w:sz w:val="20"/>
                <w:szCs w:val="20"/>
              </w:rPr>
              <w:t>100</w:t>
            </w:r>
          </w:p>
          <w:p w:rsidR="00981190" w:rsidRDefault="00981190" w:rsidP="00683902">
            <w:pPr>
              <w:autoSpaceDE w:val="0"/>
              <w:autoSpaceDN w:val="0"/>
              <w:adjustRightInd w:val="0"/>
              <w:spacing w:after="0" w:line="240" w:lineRule="auto"/>
              <w:rPr>
                <w:rFonts w:ascii="Calibri" w:hAnsi="Calibri" w:cs="Calibri"/>
                <w:sz w:val="20"/>
                <w:szCs w:val="20"/>
              </w:rPr>
            </w:pPr>
          </w:p>
        </w:tc>
        <w:tc>
          <w:tcPr>
            <w:tcW w:w="2189" w:type="dxa"/>
          </w:tcPr>
          <w:p w:rsidR="00981190" w:rsidRDefault="00981190" w:rsidP="00683902">
            <w:pPr>
              <w:autoSpaceDE w:val="0"/>
              <w:autoSpaceDN w:val="0"/>
              <w:adjustRightInd w:val="0"/>
              <w:spacing w:after="0" w:line="240" w:lineRule="auto"/>
              <w:ind w:left="838"/>
              <w:rPr>
                <w:rFonts w:ascii="Calibri" w:hAnsi="Calibri" w:cs="Calibri"/>
                <w:sz w:val="20"/>
                <w:szCs w:val="20"/>
              </w:rPr>
            </w:pPr>
          </w:p>
        </w:tc>
        <w:tc>
          <w:tcPr>
            <w:tcW w:w="1560" w:type="dxa"/>
          </w:tcPr>
          <w:p w:rsidR="00981190" w:rsidRDefault="00981190" w:rsidP="00683902">
            <w:pPr>
              <w:rPr>
                <w:rFonts w:ascii="Calibri" w:hAnsi="Calibri" w:cs="Calibri"/>
                <w:sz w:val="20"/>
                <w:szCs w:val="20"/>
              </w:rPr>
            </w:pPr>
            <w:r>
              <w:rPr>
                <w:rFonts w:ascii="Calibri" w:hAnsi="Calibri" w:cs="Calibri"/>
                <w:sz w:val="20"/>
                <w:szCs w:val="20"/>
              </w:rPr>
              <w:t>100</w:t>
            </w:r>
          </w:p>
          <w:p w:rsidR="00981190" w:rsidRDefault="00981190" w:rsidP="00683902">
            <w:pPr>
              <w:autoSpaceDE w:val="0"/>
              <w:autoSpaceDN w:val="0"/>
              <w:adjustRightInd w:val="0"/>
              <w:spacing w:after="0" w:line="240" w:lineRule="auto"/>
              <w:rPr>
                <w:rFonts w:ascii="Calibri" w:hAnsi="Calibri" w:cs="Calibri"/>
                <w:sz w:val="20"/>
                <w:szCs w:val="20"/>
              </w:rPr>
            </w:pPr>
          </w:p>
        </w:tc>
      </w:tr>
      <w:tr w:rsidR="00981190" w:rsidTr="00683902">
        <w:tblPrEx>
          <w:tblCellMar>
            <w:top w:w="0" w:type="dxa"/>
            <w:bottom w:w="0" w:type="dxa"/>
          </w:tblCellMar>
        </w:tblPrEx>
        <w:trPr>
          <w:trHeight w:val="885"/>
        </w:trPr>
        <w:tc>
          <w:tcPr>
            <w:tcW w:w="2592" w:type="dxa"/>
          </w:tcPr>
          <w:p w:rsidR="00981190" w:rsidRDefault="00981190"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Aplazamientos que a la fecha de cierre sobrepasan el plazo máximo legal.</w:t>
            </w:r>
          </w:p>
        </w:tc>
        <w:tc>
          <w:tcPr>
            <w:tcW w:w="1654" w:type="dxa"/>
          </w:tcPr>
          <w:p w:rsidR="00981190" w:rsidRDefault="00981190" w:rsidP="00683902">
            <w:pPr>
              <w:rPr>
                <w:rFonts w:ascii="Calibri" w:hAnsi="Calibri" w:cs="Calibri"/>
                <w:sz w:val="20"/>
                <w:szCs w:val="20"/>
              </w:rPr>
            </w:pPr>
          </w:p>
          <w:p w:rsidR="00981190" w:rsidRDefault="00981190" w:rsidP="00683902">
            <w:pPr>
              <w:rPr>
                <w:rFonts w:ascii="Calibri" w:hAnsi="Calibri" w:cs="Calibri"/>
                <w:sz w:val="20"/>
                <w:szCs w:val="20"/>
              </w:rPr>
            </w:pPr>
          </w:p>
          <w:p w:rsidR="00981190" w:rsidRDefault="00981190" w:rsidP="00683902">
            <w:pPr>
              <w:autoSpaceDE w:val="0"/>
              <w:autoSpaceDN w:val="0"/>
              <w:adjustRightInd w:val="0"/>
              <w:spacing w:after="0" w:line="240" w:lineRule="auto"/>
              <w:jc w:val="both"/>
              <w:rPr>
                <w:rFonts w:ascii="Calibri" w:hAnsi="Calibri" w:cs="Calibri"/>
                <w:sz w:val="20"/>
                <w:szCs w:val="20"/>
              </w:rPr>
            </w:pPr>
          </w:p>
        </w:tc>
        <w:tc>
          <w:tcPr>
            <w:tcW w:w="551" w:type="dxa"/>
          </w:tcPr>
          <w:p w:rsidR="00981190" w:rsidRDefault="00981190" w:rsidP="00683902">
            <w:pPr>
              <w:rPr>
                <w:rFonts w:ascii="Calibri" w:hAnsi="Calibri" w:cs="Calibri"/>
                <w:sz w:val="20"/>
                <w:szCs w:val="20"/>
              </w:rPr>
            </w:pPr>
          </w:p>
          <w:p w:rsidR="00981190" w:rsidRDefault="00981190" w:rsidP="00683902">
            <w:pPr>
              <w:rPr>
                <w:rFonts w:ascii="Calibri" w:hAnsi="Calibri" w:cs="Calibri"/>
                <w:sz w:val="20"/>
                <w:szCs w:val="20"/>
              </w:rPr>
            </w:pPr>
          </w:p>
          <w:p w:rsidR="00981190" w:rsidRDefault="00981190" w:rsidP="00683902">
            <w:pPr>
              <w:autoSpaceDE w:val="0"/>
              <w:autoSpaceDN w:val="0"/>
              <w:adjustRightInd w:val="0"/>
              <w:spacing w:after="0" w:line="240" w:lineRule="auto"/>
              <w:jc w:val="both"/>
              <w:rPr>
                <w:rFonts w:ascii="Calibri" w:hAnsi="Calibri" w:cs="Calibri"/>
                <w:sz w:val="20"/>
                <w:szCs w:val="20"/>
              </w:rPr>
            </w:pPr>
          </w:p>
        </w:tc>
        <w:tc>
          <w:tcPr>
            <w:tcW w:w="2189" w:type="dxa"/>
          </w:tcPr>
          <w:p w:rsidR="00981190" w:rsidRDefault="00981190" w:rsidP="00683902">
            <w:pPr>
              <w:rPr>
                <w:rFonts w:ascii="Calibri" w:hAnsi="Calibri" w:cs="Calibri"/>
                <w:sz w:val="20"/>
                <w:szCs w:val="20"/>
              </w:rPr>
            </w:pPr>
          </w:p>
          <w:p w:rsidR="00981190" w:rsidRDefault="00981190" w:rsidP="00683902">
            <w:pPr>
              <w:rPr>
                <w:rFonts w:ascii="Calibri" w:hAnsi="Calibri" w:cs="Calibri"/>
                <w:sz w:val="20"/>
                <w:szCs w:val="20"/>
              </w:rPr>
            </w:pPr>
          </w:p>
          <w:p w:rsidR="00981190" w:rsidRDefault="00981190" w:rsidP="00683902">
            <w:pPr>
              <w:autoSpaceDE w:val="0"/>
              <w:autoSpaceDN w:val="0"/>
              <w:adjustRightInd w:val="0"/>
              <w:spacing w:after="0" w:line="240" w:lineRule="auto"/>
              <w:jc w:val="both"/>
              <w:rPr>
                <w:rFonts w:ascii="Calibri" w:hAnsi="Calibri" w:cs="Calibri"/>
                <w:sz w:val="20"/>
                <w:szCs w:val="20"/>
              </w:rPr>
            </w:pPr>
          </w:p>
        </w:tc>
        <w:tc>
          <w:tcPr>
            <w:tcW w:w="1560" w:type="dxa"/>
          </w:tcPr>
          <w:p w:rsidR="00981190" w:rsidRDefault="00981190" w:rsidP="00683902">
            <w:pPr>
              <w:rPr>
                <w:rFonts w:ascii="Calibri" w:hAnsi="Calibri" w:cs="Calibri"/>
                <w:sz w:val="20"/>
                <w:szCs w:val="20"/>
              </w:rPr>
            </w:pPr>
          </w:p>
          <w:p w:rsidR="00981190" w:rsidRDefault="00981190" w:rsidP="00683902">
            <w:pPr>
              <w:rPr>
                <w:rFonts w:ascii="Calibri" w:hAnsi="Calibri" w:cs="Calibri"/>
                <w:sz w:val="20"/>
                <w:szCs w:val="20"/>
              </w:rPr>
            </w:pPr>
          </w:p>
          <w:p w:rsidR="00981190" w:rsidRDefault="00981190" w:rsidP="00683902">
            <w:pPr>
              <w:autoSpaceDE w:val="0"/>
              <w:autoSpaceDN w:val="0"/>
              <w:adjustRightInd w:val="0"/>
              <w:spacing w:after="0" w:line="240" w:lineRule="auto"/>
              <w:jc w:val="both"/>
              <w:rPr>
                <w:rFonts w:ascii="Calibri" w:hAnsi="Calibri" w:cs="Calibri"/>
                <w:sz w:val="20"/>
                <w:szCs w:val="20"/>
              </w:rPr>
            </w:pPr>
          </w:p>
        </w:tc>
      </w:tr>
    </w:tbl>
    <w:p w:rsidR="00981190" w:rsidRDefault="00981190" w:rsidP="00981190">
      <w:pPr>
        <w:pStyle w:val="Sinespaciado"/>
      </w:pP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r>
        <w:rPr>
          <w:rFonts w:ascii="59omrdlftmxnvhq" w:hAnsi="59omrdlftmxnvhq" w:cs="59omrdlftmxnvhq"/>
          <w:sz w:val="19"/>
          <w:szCs w:val="19"/>
        </w:rPr>
        <w:t>** El plazo máximo legal de pago será, en cada caso, el que corresponda en función de la naturaleza del bien o servicio recibido por la empresa de acuerdo con lo dispuesto en la Ley 3/2004, de 29 de diciembre, por la que se establecen medidas de lucha contra la morosidad en las operaciones comerciales.</w:t>
      </w:r>
    </w:p>
    <w:p w:rsidR="00CA6F77" w:rsidRDefault="00CA6F77" w:rsidP="00CA6F77">
      <w:pPr>
        <w:autoSpaceDE w:val="0"/>
        <w:autoSpaceDN w:val="0"/>
        <w:adjustRightInd w:val="0"/>
        <w:spacing w:after="0" w:line="240" w:lineRule="auto"/>
        <w:jc w:val="both"/>
        <w:rPr>
          <w:rFonts w:ascii="59omrdlftmxnvhq" w:hAnsi="59omrdlftmxnvhq" w:cs="59omrdlftmxnvhq"/>
          <w:sz w:val="19"/>
          <w:szCs w:val="19"/>
        </w:rPr>
      </w:pPr>
    </w:p>
    <w:p w:rsidR="00CA6F77" w:rsidRDefault="00CA6F77" w:rsidP="00CA6F77">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3. Ejemplo de aplicación de la resolución 29/2010</w:t>
      </w:r>
    </w:p>
    <w:p w:rsidR="00D27C8E" w:rsidRDefault="00D27C8E" w:rsidP="00CA6F77">
      <w:pPr>
        <w:autoSpaceDE w:val="0"/>
        <w:autoSpaceDN w:val="0"/>
        <w:adjustRightInd w:val="0"/>
        <w:spacing w:after="0" w:line="240" w:lineRule="auto"/>
        <w:jc w:val="both"/>
        <w:rPr>
          <w:rFonts w:ascii="Arial-BoldMT" w:hAnsi="Arial-BoldMT" w:cs="Arial-BoldMT"/>
          <w:b/>
          <w:bCs/>
          <w:sz w:val="24"/>
          <w:szCs w:val="24"/>
        </w:rPr>
      </w:pP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MT" w:hAnsi="ArialMT" w:cs="ArialMT"/>
          <w:sz w:val="18"/>
          <w:szCs w:val="18"/>
        </w:rPr>
        <w:t>La empresa MSA al elaborar en el mes de marzo la memoria del año 2010 cuenta con la siguiente información:</w:t>
      </w:r>
    </w:p>
    <w:p w:rsidR="00D27C8E" w:rsidRDefault="00D27C8E" w:rsidP="00CA6F77">
      <w:pPr>
        <w:autoSpaceDE w:val="0"/>
        <w:autoSpaceDN w:val="0"/>
        <w:adjustRightInd w:val="0"/>
        <w:spacing w:after="0" w:line="240" w:lineRule="auto"/>
        <w:jc w:val="both"/>
        <w:rPr>
          <w:rFonts w:ascii="ArialMT" w:hAnsi="ArialMT" w:cs="ArialMT"/>
          <w:sz w:val="18"/>
          <w:szCs w:val="18"/>
        </w:rPr>
      </w:pPr>
    </w:p>
    <w:p w:rsidR="00CA6F77" w:rsidRDefault="00CA6F77" w:rsidP="00CA6F77">
      <w:pPr>
        <w:autoSpaceDE w:val="0"/>
        <w:autoSpaceDN w:val="0"/>
        <w:adjustRightInd w:val="0"/>
        <w:spacing w:after="0" w:line="240" w:lineRule="auto"/>
        <w:jc w:val="both"/>
        <w:rPr>
          <w:rFonts w:ascii="Arial-BoldMT" w:hAnsi="Arial-BoldMT" w:cs="Arial-BoldMT"/>
          <w:b/>
          <w:bCs/>
          <w:sz w:val="18"/>
          <w:szCs w:val="18"/>
        </w:rPr>
      </w:pPr>
      <w:r>
        <w:rPr>
          <w:rFonts w:ascii="Arial-BoldMT" w:hAnsi="Arial-BoldMT" w:cs="Arial-BoldMT"/>
          <w:b/>
          <w:bCs/>
          <w:sz w:val="18"/>
          <w:szCs w:val="18"/>
        </w:rPr>
        <w:t>Año 2009</w:t>
      </w:r>
    </w:p>
    <w:p w:rsidR="00CA6F77" w:rsidRPr="00D27C8E" w:rsidRDefault="00CA6F77" w:rsidP="00CA6F77">
      <w:pPr>
        <w:autoSpaceDE w:val="0"/>
        <w:autoSpaceDN w:val="0"/>
        <w:adjustRightInd w:val="0"/>
        <w:spacing w:after="0" w:line="240" w:lineRule="auto"/>
        <w:jc w:val="both"/>
        <w:rPr>
          <w:rFonts w:ascii="ArialMT" w:hAnsi="ArialMT" w:cs="ArialMT"/>
          <w:sz w:val="18"/>
          <w:szCs w:val="18"/>
        </w:rPr>
      </w:pPr>
      <w:r>
        <w:rPr>
          <w:rFonts w:ascii="ArialMT" w:hAnsi="ArialMT" w:cs="ArialMT"/>
          <w:sz w:val="18"/>
          <w:szCs w:val="18"/>
        </w:rPr>
        <w:t>El importe de los aplazamientos de pago a proveedores que a 31.12.2009 (fecha de cierre del ejercicio)</w:t>
      </w:r>
      <w:r w:rsidR="00D27C8E">
        <w:rPr>
          <w:rFonts w:ascii="ArialMT" w:hAnsi="ArialMT" w:cs="ArialMT"/>
          <w:sz w:val="18"/>
          <w:szCs w:val="18"/>
        </w:rPr>
        <w:t xml:space="preserve"> </w:t>
      </w:r>
      <w:r>
        <w:rPr>
          <w:rFonts w:ascii="ArialMT" w:hAnsi="ArialMT" w:cs="ArialMT"/>
          <w:sz w:val="18"/>
          <w:szCs w:val="18"/>
        </w:rPr>
        <w:t xml:space="preserve">sobrepasan el plazo máximo legal es de 118.000 </w:t>
      </w:r>
      <w:r>
        <w:rPr>
          <w:rFonts w:ascii="Arial" w:hAnsi="Arial" w:cs="Arial"/>
          <w:sz w:val="18"/>
          <w:szCs w:val="18"/>
        </w:rPr>
        <w:t>€.</w:t>
      </w:r>
    </w:p>
    <w:p w:rsidR="00CA6F77" w:rsidRPr="00D27C8E" w:rsidRDefault="00CA6F77" w:rsidP="00CA6F77">
      <w:pPr>
        <w:autoSpaceDE w:val="0"/>
        <w:autoSpaceDN w:val="0"/>
        <w:adjustRightInd w:val="0"/>
        <w:spacing w:after="0" w:line="240" w:lineRule="auto"/>
        <w:jc w:val="both"/>
        <w:rPr>
          <w:rFonts w:ascii="Arial" w:hAnsi="Arial" w:cs="Arial"/>
          <w:sz w:val="18"/>
          <w:szCs w:val="18"/>
        </w:rPr>
      </w:pPr>
      <w:r>
        <w:rPr>
          <w:rFonts w:ascii="Arial" w:hAnsi="Arial" w:cs="Arial"/>
          <w:sz w:val="18"/>
          <w:szCs w:val="18"/>
        </w:rPr>
        <w:t>El total de pagos en el ejercicio 2009 es de 9.100.000 €. De este importe 2.195.000 € se efectuaron superando</w:t>
      </w:r>
      <w:r w:rsidR="00D27C8E">
        <w:rPr>
          <w:rFonts w:ascii="Arial" w:hAnsi="Arial" w:cs="Arial"/>
          <w:sz w:val="18"/>
          <w:szCs w:val="18"/>
        </w:rPr>
        <w:t xml:space="preserve"> </w:t>
      </w:r>
      <w:r>
        <w:rPr>
          <w:rFonts w:ascii="ArialMT" w:hAnsi="ArialMT" w:cs="ArialMT"/>
          <w:sz w:val="18"/>
          <w:szCs w:val="18"/>
        </w:rPr>
        <w:t>el plazo legal con el siguiente detalle:</w:t>
      </w:r>
    </w:p>
    <w:p w:rsidR="00D27C8E" w:rsidRDefault="00D27C8E" w:rsidP="00CA6F77">
      <w:pPr>
        <w:autoSpaceDE w:val="0"/>
        <w:autoSpaceDN w:val="0"/>
        <w:adjustRightInd w:val="0"/>
        <w:spacing w:after="0" w:line="240" w:lineRule="auto"/>
        <w:jc w:val="both"/>
        <w:rPr>
          <w:rFonts w:ascii="Arial-BoldMT" w:hAnsi="Arial-BoldMT" w:cs="Arial-BoldMT"/>
          <w:b/>
          <w:bCs/>
          <w:sz w:val="18"/>
          <w:szCs w:val="18"/>
        </w:rPr>
      </w:pPr>
    </w:p>
    <w:p w:rsidR="00CA6F77" w:rsidRDefault="00CA6F77" w:rsidP="00CA6F77">
      <w:pPr>
        <w:autoSpaceDE w:val="0"/>
        <w:autoSpaceDN w:val="0"/>
        <w:adjustRightInd w:val="0"/>
        <w:spacing w:after="0" w:line="240" w:lineRule="auto"/>
        <w:jc w:val="both"/>
        <w:rPr>
          <w:rFonts w:ascii="Arial-BoldMT" w:hAnsi="Arial-BoldMT" w:cs="Arial-BoldMT"/>
          <w:b/>
          <w:bCs/>
          <w:sz w:val="18"/>
          <w:szCs w:val="18"/>
        </w:rPr>
      </w:pPr>
      <w:r>
        <w:rPr>
          <w:rFonts w:ascii="Arial-BoldMT" w:hAnsi="Arial-BoldMT" w:cs="Arial-BoldMT"/>
          <w:b/>
          <w:bCs/>
          <w:sz w:val="18"/>
          <w:szCs w:val="18"/>
        </w:rPr>
        <w:t>Proveedor</w:t>
      </w:r>
      <w:r w:rsidR="00D27C8E">
        <w:rPr>
          <w:rFonts w:ascii="Arial-BoldMT" w:hAnsi="Arial-BoldMT" w:cs="Arial-BoldMT"/>
          <w:b/>
          <w:bCs/>
          <w:sz w:val="18"/>
          <w:szCs w:val="18"/>
        </w:rPr>
        <w:tab/>
      </w:r>
      <w:r>
        <w:rPr>
          <w:rFonts w:ascii="Arial-BoldMT" w:hAnsi="Arial-BoldMT" w:cs="Arial-BoldMT"/>
          <w:b/>
          <w:bCs/>
          <w:sz w:val="18"/>
          <w:szCs w:val="18"/>
        </w:rPr>
        <w:t xml:space="preserve">Importe </w:t>
      </w:r>
      <w:r w:rsidR="00D27C8E">
        <w:rPr>
          <w:rFonts w:ascii="Arial-BoldMT" w:hAnsi="Arial-BoldMT" w:cs="Arial-BoldMT"/>
          <w:b/>
          <w:bCs/>
          <w:sz w:val="18"/>
          <w:szCs w:val="18"/>
        </w:rPr>
        <w:tab/>
      </w:r>
      <w:r>
        <w:rPr>
          <w:rFonts w:ascii="Arial-BoldMT" w:hAnsi="Arial-BoldMT" w:cs="Arial-BoldMT"/>
          <w:b/>
          <w:bCs/>
          <w:sz w:val="18"/>
          <w:szCs w:val="18"/>
        </w:rPr>
        <w:t>Días excedidos</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ASA</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 xml:space="preserve">238.000 </w:t>
      </w:r>
      <w:r w:rsidR="00D27C8E">
        <w:rPr>
          <w:rFonts w:ascii="ArialMT" w:hAnsi="ArialMT" w:cs="ArialMT"/>
          <w:sz w:val="18"/>
          <w:szCs w:val="18"/>
        </w:rPr>
        <w:tab/>
      </w:r>
      <w:r w:rsidR="00D27C8E">
        <w:rPr>
          <w:rFonts w:ascii="ArialMT" w:hAnsi="ArialMT" w:cs="ArialMT"/>
          <w:sz w:val="18"/>
          <w:szCs w:val="18"/>
        </w:rPr>
        <w:tab/>
      </w:r>
      <w:r>
        <w:rPr>
          <w:rFonts w:ascii="ArialMT" w:hAnsi="ArialMT" w:cs="ArialMT"/>
          <w:sz w:val="18"/>
          <w:szCs w:val="18"/>
        </w:rPr>
        <w:t>14</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 xml:space="preserve">CSA </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1.150.000</w:t>
      </w:r>
      <w:r w:rsidR="00D27C8E">
        <w:rPr>
          <w:rFonts w:ascii="ArialMT" w:hAnsi="ArialMT" w:cs="ArialMT"/>
          <w:sz w:val="18"/>
          <w:szCs w:val="18"/>
        </w:rPr>
        <w:tab/>
      </w:r>
      <w:r>
        <w:rPr>
          <w:rFonts w:ascii="ArialMT" w:hAnsi="ArialMT" w:cs="ArialMT"/>
          <w:sz w:val="18"/>
          <w:szCs w:val="18"/>
        </w:rPr>
        <w:t xml:space="preserve"> 68</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DSA</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 xml:space="preserve">602.000 </w:t>
      </w:r>
      <w:r w:rsidR="00D27C8E">
        <w:rPr>
          <w:rFonts w:ascii="ArialMT" w:hAnsi="ArialMT" w:cs="ArialMT"/>
          <w:sz w:val="18"/>
          <w:szCs w:val="18"/>
        </w:rPr>
        <w:tab/>
      </w:r>
      <w:r w:rsidR="00D27C8E">
        <w:rPr>
          <w:rFonts w:ascii="ArialMT" w:hAnsi="ArialMT" w:cs="ArialMT"/>
          <w:sz w:val="18"/>
          <w:szCs w:val="18"/>
        </w:rPr>
        <w:tab/>
      </w:r>
      <w:r>
        <w:rPr>
          <w:rFonts w:ascii="ArialMT" w:hAnsi="ArialMT" w:cs="ArialMT"/>
          <w:sz w:val="18"/>
          <w:szCs w:val="18"/>
        </w:rPr>
        <w:t>127</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 xml:space="preserve">ESA </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 xml:space="preserve">205.000 </w:t>
      </w:r>
      <w:r w:rsidR="00D27C8E">
        <w:rPr>
          <w:rFonts w:ascii="ArialMT" w:hAnsi="ArialMT" w:cs="ArialMT"/>
          <w:sz w:val="18"/>
          <w:szCs w:val="18"/>
        </w:rPr>
        <w:tab/>
      </w:r>
      <w:r w:rsidR="00D27C8E">
        <w:rPr>
          <w:rFonts w:ascii="ArialMT" w:hAnsi="ArialMT" w:cs="ArialMT"/>
          <w:sz w:val="18"/>
          <w:szCs w:val="18"/>
        </w:rPr>
        <w:tab/>
        <w:t xml:space="preserve"> </w:t>
      </w:r>
      <w:r>
        <w:rPr>
          <w:rFonts w:ascii="ArialMT" w:hAnsi="ArialMT" w:cs="ArialMT"/>
          <w:sz w:val="18"/>
          <w:szCs w:val="18"/>
        </w:rPr>
        <w:t>6</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Total</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2.195.000</w:t>
      </w:r>
    </w:p>
    <w:p w:rsidR="00D27C8E" w:rsidRDefault="00D27C8E" w:rsidP="00CA6F77">
      <w:pPr>
        <w:autoSpaceDE w:val="0"/>
        <w:autoSpaceDN w:val="0"/>
        <w:adjustRightInd w:val="0"/>
        <w:spacing w:after="0" w:line="240" w:lineRule="auto"/>
        <w:jc w:val="both"/>
        <w:rPr>
          <w:rFonts w:ascii="Arial-BoldMT" w:hAnsi="Arial-BoldMT" w:cs="Arial-BoldMT"/>
          <w:b/>
          <w:bCs/>
          <w:sz w:val="18"/>
          <w:szCs w:val="18"/>
        </w:rPr>
      </w:pPr>
    </w:p>
    <w:p w:rsidR="00CA6F77" w:rsidRDefault="00CA6F77" w:rsidP="00CA6F77">
      <w:pPr>
        <w:autoSpaceDE w:val="0"/>
        <w:autoSpaceDN w:val="0"/>
        <w:adjustRightInd w:val="0"/>
        <w:spacing w:after="0" w:line="240" w:lineRule="auto"/>
        <w:jc w:val="both"/>
        <w:rPr>
          <w:rFonts w:ascii="Arial-BoldMT" w:hAnsi="Arial-BoldMT" w:cs="Arial-BoldMT"/>
          <w:b/>
          <w:bCs/>
          <w:sz w:val="18"/>
          <w:szCs w:val="18"/>
        </w:rPr>
      </w:pPr>
      <w:r>
        <w:rPr>
          <w:rFonts w:ascii="Arial-BoldMT" w:hAnsi="Arial-BoldMT" w:cs="Arial-BoldMT"/>
          <w:b/>
          <w:bCs/>
          <w:sz w:val="18"/>
          <w:szCs w:val="18"/>
        </w:rPr>
        <w:t>Año 2010</w:t>
      </w:r>
    </w:p>
    <w:p w:rsidR="00CA6F77" w:rsidRPr="00D27C8E" w:rsidRDefault="00CA6F77" w:rsidP="00CA6F77">
      <w:pPr>
        <w:autoSpaceDE w:val="0"/>
        <w:autoSpaceDN w:val="0"/>
        <w:adjustRightInd w:val="0"/>
        <w:spacing w:after="0" w:line="240" w:lineRule="auto"/>
        <w:jc w:val="both"/>
        <w:rPr>
          <w:rFonts w:ascii="ArialMT" w:hAnsi="ArialMT" w:cs="ArialMT"/>
          <w:sz w:val="18"/>
          <w:szCs w:val="18"/>
        </w:rPr>
      </w:pPr>
      <w:r>
        <w:rPr>
          <w:rFonts w:ascii="ArialMT" w:hAnsi="ArialMT" w:cs="ArialMT"/>
          <w:sz w:val="18"/>
          <w:szCs w:val="18"/>
        </w:rPr>
        <w:t>El importe de los aplazamientos de pago a proveedores que a 31.12.2010 (fecha de cierre del ejercicio)</w:t>
      </w:r>
      <w:r w:rsidR="00D27C8E">
        <w:rPr>
          <w:rFonts w:ascii="ArialMT" w:hAnsi="ArialMT" w:cs="ArialMT"/>
          <w:sz w:val="18"/>
          <w:szCs w:val="18"/>
        </w:rPr>
        <w:t xml:space="preserve"> </w:t>
      </w:r>
      <w:r>
        <w:rPr>
          <w:rFonts w:ascii="Arial" w:hAnsi="Arial" w:cs="Arial"/>
          <w:sz w:val="18"/>
          <w:szCs w:val="18"/>
        </w:rPr>
        <w:t>sobrepasan el plazo máximo legal es de 120.000 €.</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 w:hAnsi="Arial" w:cs="Arial"/>
          <w:sz w:val="18"/>
          <w:szCs w:val="18"/>
        </w:rPr>
        <w:t>El total de pagos en el ejercicio 2010 es de 6.200.000 €. De este importe 380.000 € se efectuaron superando el</w:t>
      </w:r>
      <w:r w:rsidR="00D27C8E">
        <w:rPr>
          <w:rFonts w:ascii="Arial" w:hAnsi="Arial" w:cs="Arial"/>
          <w:sz w:val="18"/>
          <w:szCs w:val="18"/>
        </w:rPr>
        <w:t xml:space="preserve"> </w:t>
      </w:r>
      <w:r>
        <w:rPr>
          <w:rFonts w:ascii="ArialMT" w:hAnsi="ArialMT" w:cs="ArialMT"/>
          <w:sz w:val="18"/>
          <w:szCs w:val="18"/>
        </w:rPr>
        <w:t>plazo legal, con el siguiente detalle:</w:t>
      </w:r>
    </w:p>
    <w:p w:rsidR="00D27C8E" w:rsidRPr="00D27C8E" w:rsidRDefault="00D27C8E" w:rsidP="00CA6F77">
      <w:pPr>
        <w:autoSpaceDE w:val="0"/>
        <w:autoSpaceDN w:val="0"/>
        <w:adjustRightInd w:val="0"/>
        <w:spacing w:after="0" w:line="240" w:lineRule="auto"/>
        <w:jc w:val="both"/>
        <w:rPr>
          <w:rFonts w:ascii="Arial" w:hAnsi="Arial" w:cs="Arial"/>
          <w:sz w:val="18"/>
          <w:szCs w:val="18"/>
        </w:rPr>
      </w:pPr>
    </w:p>
    <w:p w:rsidR="00CA6F77" w:rsidRDefault="00CA6F77" w:rsidP="00CA6F77">
      <w:pPr>
        <w:autoSpaceDE w:val="0"/>
        <w:autoSpaceDN w:val="0"/>
        <w:adjustRightInd w:val="0"/>
        <w:spacing w:after="0" w:line="240" w:lineRule="auto"/>
        <w:jc w:val="both"/>
        <w:rPr>
          <w:rFonts w:ascii="Arial-BoldMT" w:hAnsi="Arial-BoldMT" w:cs="Arial-BoldMT"/>
          <w:b/>
          <w:bCs/>
          <w:sz w:val="18"/>
          <w:szCs w:val="18"/>
        </w:rPr>
      </w:pPr>
      <w:r>
        <w:rPr>
          <w:rFonts w:ascii="Arial-BoldMT" w:hAnsi="Arial-BoldMT" w:cs="Arial-BoldMT"/>
          <w:b/>
          <w:bCs/>
          <w:sz w:val="18"/>
          <w:szCs w:val="18"/>
        </w:rPr>
        <w:t xml:space="preserve">Proveedor </w:t>
      </w:r>
      <w:r w:rsidR="00D27C8E">
        <w:rPr>
          <w:rFonts w:ascii="Arial-BoldMT" w:hAnsi="Arial-BoldMT" w:cs="Arial-BoldMT"/>
          <w:b/>
          <w:bCs/>
          <w:sz w:val="18"/>
          <w:szCs w:val="18"/>
        </w:rPr>
        <w:tab/>
      </w:r>
      <w:r>
        <w:rPr>
          <w:rFonts w:ascii="Arial-BoldMT" w:hAnsi="Arial-BoldMT" w:cs="Arial-BoldMT"/>
          <w:b/>
          <w:bCs/>
          <w:sz w:val="18"/>
          <w:szCs w:val="18"/>
        </w:rPr>
        <w:t xml:space="preserve">Importe </w:t>
      </w:r>
      <w:r w:rsidR="00D27C8E">
        <w:rPr>
          <w:rFonts w:ascii="Arial-BoldMT" w:hAnsi="Arial-BoldMT" w:cs="Arial-BoldMT"/>
          <w:b/>
          <w:bCs/>
          <w:sz w:val="18"/>
          <w:szCs w:val="18"/>
        </w:rPr>
        <w:tab/>
      </w:r>
      <w:r>
        <w:rPr>
          <w:rFonts w:ascii="Arial-BoldMT" w:hAnsi="Arial-BoldMT" w:cs="Arial-BoldMT"/>
          <w:b/>
          <w:bCs/>
          <w:sz w:val="18"/>
          <w:szCs w:val="18"/>
        </w:rPr>
        <w:t>Días excedidos</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 xml:space="preserve">ASA </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 xml:space="preserve">238.000 </w:t>
      </w:r>
      <w:r w:rsidR="00D27C8E">
        <w:rPr>
          <w:rFonts w:ascii="ArialMT" w:hAnsi="ArialMT" w:cs="ArialMT"/>
          <w:sz w:val="18"/>
          <w:szCs w:val="18"/>
        </w:rPr>
        <w:tab/>
      </w:r>
      <w:r w:rsidR="00D27C8E">
        <w:rPr>
          <w:rFonts w:ascii="ArialMT" w:hAnsi="ArialMT" w:cs="ArialMT"/>
          <w:sz w:val="18"/>
          <w:szCs w:val="18"/>
        </w:rPr>
        <w:tab/>
      </w:r>
      <w:r>
        <w:rPr>
          <w:rFonts w:ascii="ArialMT" w:hAnsi="ArialMT" w:cs="ArialMT"/>
          <w:sz w:val="18"/>
          <w:szCs w:val="18"/>
        </w:rPr>
        <w:t>17</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 xml:space="preserve">BSA </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 xml:space="preserve">17.000 </w:t>
      </w:r>
      <w:r w:rsidR="00D27C8E">
        <w:rPr>
          <w:rFonts w:ascii="ArialMT" w:hAnsi="ArialMT" w:cs="ArialMT"/>
          <w:sz w:val="18"/>
          <w:szCs w:val="18"/>
        </w:rPr>
        <w:tab/>
      </w:r>
      <w:r w:rsidR="00D27C8E">
        <w:rPr>
          <w:rFonts w:ascii="ArialMT" w:hAnsi="ArialMT" w:cs="ArialMT"/>
          <w:sz w:val="18"/>
          <w:szCs w:val="18"/>
        </w:rPr>
        <w:tab/>
      </w:r>
      <w:r>
        <w:rPr>
          <w:rFonts w:ascii="ArialMT" w:hAnsi="ArialMT" w:cs="ArialMT"/>
          <w:sz w:val="18"/>
          <w:szCs w:val="18"/>
        </w:rPr>
        <w:t>42</w:t>
      </w:r>
    </w:p>
    <w:p w:rsidR="00E418DC" w:rsidRDefault="00CA6F77" w:rsidP="00CA6F77">
      <w:pPr>
        <w:jc w:val="both"/>
        <w:rPr>
          <w:rFonts w:ascii="ArialMT" w:hAnsi="ArialMT" w:cs="ArialMT"/>
          <w:sz w:val="18"/>
          <w:szCs w:val="18"/>
        </w:rPr>
      </w:pPr>
      <w:r>
        <w:rPr>
          <w:rFonts w:ascii="Arial-BoldMT" w:hAnsi="Arial-BoldMT" w:cs="Arial-BoldMT"/>
          <w:b/>
          <w:bCs/>
          <w:sz w:val="18"/>
          <w:szCs w:val="18"/>
        </w:rPr>
        <w:t xml:space="preserve">ASA </w:t>
      </w:r>
      <w:r w:rsidR="00D27C8E">
        <w:rPr>
          <w:rFonts w:ascii="Arial-BoldMT" w:hAnsi="Arial-BoldMT" w:cs="Arial-BoldMT"/>
          <w:b/>
          <w:bCs/>
          <w:sz w:val="18"/>
          <w:szCs w:val="18"/>
        </w:rPr>
        <w:tab/>
      </w:r>
      <w:r w:rsidR="00D27C8E">
        <w:rPr>
          <w:rFonts w:ascii="Arial-BoldMT" w:hAnsi="Arial-BoldMT" w:cs="Arial-BoldMT"/>
          <w:b/>
          <w:bCs/>
          <w:sz w:val="18"/>
          <w:szCs w:val="18"/>
        </w:rPr>
        <w:tab/>
      </w:r>
      <w:r>
        <w:rPr>
          <w:rFonts w:ascii="ArialMT" w:hAnsi="ArialMT" w:cs="ArialMT"/>
          <w:sz w:val="18"/>
          <w:szCs w:val="18"/>
        </w:rPr>
        <w:t xml:space="preserve">125.000 </w:t>
      </w:r>
      <w:r w:rsidR="00D27C8E">
        <w:rPr>
          <w:rFonts w:ascii="ArialMT" w:hAnsi="ArialMT" w:cs="ArialMT"/>
          <w:sz w:val="18"/>
          <w:szCs w:val="18"/>
        </w:rPr>
        <w:tab/>
      </w:r>
      <w:r w:rsidR="00D27C8E">
        <w:rPr>
          <w:rFonts w:ascii="ArialMT" w:hAnsi="ArialMT" w:cs="ArialMT"/>
          <w:sz w:val="18"/>
          <w:szCs w:val="18"/>
        </w:rPr>
        <w:tab/>
      </w:r>
      <w:r>
        <w:rPr>
          <w:rFonts w:ascii="ArialMT" w:hAnsi="ArialMT" w:cs="ArialMT"/>
          <w:sz w:val="18"/>
          <w:szCs w:val="18"/>
        </w:rPr>
        <w:t>65</w:t>
      </w:r>
    </w:p>
    <w:p w:rsidR="00582C24" w:rsidRDefault="00582C24" w:rsidP="00582C24">
      <w:pPr>
        <w:autoSpaceDE w:val="0"/>
        <w:autoSpaceDN w:val="0"/>
        <w:adjustRightInd w:val="0"/>
        <w:spacing w:after="0" w:line="240" w:lineRule="auto"/>
        <w:jc w:val="both"/>
        <w:rPr>
          <w:rFonts w:ascii="ArialMT" w:hAnsi="ArialMT" w:cs="ArialMT"/>
          <w:sz w:val="18"/>
          <w:szCs w:val="18"/>
        </w:rPr>
      </w:pPr>
      <w:r>
        <w:rPr>
          <w:rFonts w:ascii="Arial-BoldMT" w:hAnsi="Arial-BoldMT" w:cs="Arial-BoldMT"/>
          <w:b/>
          <w:bCs/>
          <w:sz w:val="18"/>
          <w:szCs w:val="18"/>
        </w:rPr>
        <w:t>Total</w:t>
      </w:r>
      <w:r>
        <w:rPr>
          <w:rFonts w:ascii="Arial-BoldMT" w:hAnsi="Arial-BoldMT" w:cs="Arial-BoldMT"/>
          <w:b/>
          <w:bCs/>
          <w:sz w:val="18"/>
          <w:szCs w:val="18"/>
        </w:rPr>
        <w:tab/>
      </w:r>
      <w:r>
        <w:rPr>
          <w:rFonts w:ascii="Arial-BoldMT" w:hAnsi="Arial-BoldMT" w:cs="Arial-BoldMT"/>
          <w:b/>
          <w:bCs/>
          <w:sz w:val="18"/>
          <w:szCs w:val="18"/>
        </w:rPr>
        <w:tab/>
      </w:r>
      <w:r>
        <w:rPr>
          <w:rFonts w:ascii="ArialMT" w:hAnsi="ArialMT" w:cs="ArialMT"/>
          <w:sz w:val="18"/>
          <w:szCs w:val="18"/>
        </w:rPr>
        <w:t>380.000</w:t>
      </w:r>
    </w:p>
    <w:p w:rsidR="00582C24" w:rsidRDefault="00582C24" w:rsidP="00CA6F77">
      <w:pPr>
        <w:autoSpaceDE w:val="0"/>
        <w:autoSpaceDN w:val="0"/>
        <w:adjustRightInd w:val="0"/>
        <w:spacing w:after="0" w:line="240" w:lineRule="auto"/>
        <w:jc w:val="both"/>
        <w:rPr>
          <w:rFonts w:ascii="ArialMT" w:hAnsi="ArialMT" w:cs="ArialMT"/>
          <w:sz w:val="18"/>
          <w:szCs w:val="18"/>
        </w:rPr>
      </w:pPr>
    </w:p>
    <w:p w:rsidR="00CA6F77" w:rsidRDefault="00D27C8E" w:rsidP="00CA6F77">
      <w:pPr>
        <w:autoSpaceDE w:val="0"/>
        <w:autoSpaceDN w:val="0"/>
        <w:adjustRightInd w:val="0"/>
        <w:spacing w:after="0" w:line="240" w:lineRule="auto"/>
        <w:jc w:val="both"/>
        <w:rPr>
          <w:rFonts w:ascii="ArialMT" w:hAnsi="ArialMT" w:cs="ArialMT"/>
          <w:sz w:val="18"/>
          <w:szCs w:val="18"/>
        </w:rPr>
      </w:pPr>
      <w:r>
        <w:rPr>
          <w:rFonts w:ascii="ArialMT" w:hAnsi="ArialMT" w:cs="ArialMT"/>
          <w:sz w:val="18"/>
          <w:szCs w:val="18"/>
        </w:rPr>
        <w:t>L</w:t>
      </w:r>
      <w:r w:rsidR="00CA6F77">
        <w:rPr>
          <w:rFonts w:ascii="ArialMT" w:hAnsi="ArialMT" w:cs="ArialMT"/>
          <w:sz w:val="18"/>
          <w:szCs w:val="18"/>
        </w:rPr>
        <w:t>a información a presentar en la memoria siguiendo la nueva normativa sería:</w:t>
      </w:r>
    </w:p>
    <w:p w:rsidR="00D27C8E" w:rsidRDefault="00D27C8E" w:rsidP="00CA6F77">
      <w:pPr>
        <w:autoSpaceDE w:val="0"/>
        <w:autoSpaceDN w:val="0"/>
        <w:adjustRightInd w:val="0"/>
        <w:spacing w:after="0" w:line="240" w:lineRule="auto"/>
        <w:jc w:val="both"/>
        <w:rPr>
          <w:rFonts w:ascii="ArialMT" w:hAnsi="ArialMT" w:cs="ArialMT"/>
          <w:sz w:val="18"/>
          <w:szCs w:val="18"/>
        </w:rPr>
      </w:pPr>
    </w:p>
    <w:p w:rsidR="00CA6F77" w:rsidRDefault="00CA6F77" w:rsidP="00CA6F77">
      <w:pPr>
        <w:autoSpaceDE w:val="0"/>
        <w:autoSpaceDN w:val="0"/>
        <w:adjustRightInd w:val="0"/>
        <w:spacing w:after="0" w:line="240" w:lineRule="auto"/>
        <w:jc w:val="both"/>
        <w:rPr>
          <w:rFonts w:ascii="ArialMT" w:hAnsi="ArialMT" w:cs="ArialMT"/>
          <w:sz w:val="18"/>
          <w:szCs w:val="18"/>
          <w:u w:val="single"/>
        </w:rPr>
      </w:pPr>
      <w:r w:rsidRPr="00D27C8E">
        <w:rPr>
          <w:rFonts w:ascii="ArialMT" w:hAnsi="ArialMT" w:cs="ArialMT"/>
          <w:sz w:val="18"/>
          <w:szCs w:val="18"/>
          <w:u w:val="single"/>
        </w:rPr>
        <w:t>Si elabora memoria modelo normal:</w:t>
      </w:r>
    </w:p>
    <w:p w:rsidR="00D27C8E" w:rsidRDefault="00D27C8E" w:rsidP="00CA6F77">
      <w:pPr>
        <w:autoSpaceDE w:val="0"/>
        <w:autoSpaceDN w:val="0"/>
        <w:adjustRightInd w:val="0"/>
        <w:spacing w:after="0" w:line="240" w:lineRule="auto"/>
        <w:jc w:val="both"/>
        <w:rPr>
          <w:rFonts w:ascii="ArialMT" w:hAnsi="ArialMT" w:cs="ArialMT"/>
          <w:sz w:val="18"/>
          <w:szCs w:val="18"/>
          <w:u w:val="single"/>
        </w:rPr>
      </w:pPr>
    </w:p>
    <w:p w:rsidR="00D27C8E" w:rsidRDefault="00D27C8E" w:rsidP="00CA6F77">
      <w:pPr>
        <w:autoSpaceDE w:val="0"/>
        <w:autoSpaceDN w:val="0"/>
        <w:adjustRightInd w:val="0"/>
        <w:spacing w:after="0" w:line="240" w:lineRule="auto"/>
        <w:jc w:val="both"/>
        <w:rPr>
          <w:rFonts w:ascii="ArialMT" w:hAnsi="ArialMT" w:cs="ArialMT"/>
          <w:sz w:val="18"/>
          <w:szCs w:val="18"/>
          <w:u w:val="single"/>
        </w:rPr>
      </w:pPr>
    </w:p>
    <w:p w:rsidR="00D27C8E" w:rsidRDefault="00D27C8E" w:rsidP="00CA6F77">
      <w:pPr>
        <w:autoSpaceDE w:val="0"/>
        <w:autoSpaceDN w:val="0"/>
        <w:adjustRightInd w:val="0"/>
        <w:spacing w:after="0" w:line="240" w:lineRule="auto"/>
        <w:jc w:val="both"/>
        <w:rPr>
          <w:rFonts w:ascii="ArialMT" w:hAnsi="ArialMT" w:cs="ArialMT"/>
          <w:sz w:val="18"/>
          <w:szCs w:val="18"/>
          <w:u w:val="single"/>
        </w:rPr>
      </w:pPr>
    </w:p>
    <w:p w:rsidR="00D27C8E" w:rsidRDefault="00D27C8E" w:rsidP="00CA6F77">
      <w:pPr>
        <w:autoSpaceDE w:val="0"/>
        <w:autoSpaceDN w:val="0"/>
        <w:adjustRightInd w:val="0"/>
        <w:spacing w:after="0" w:line="240" w:lineRule="auto"/>
        <w:jc w:val="both"/>
        <w:rPr>
          <w:rFonts w:ascii="ArialMT" w:hAnsi="ArialMT" w:cs="ArialMT"/>
          <w:sz w:val="18"/>
          <w:szCs w:val="18"/>
          <w:u w:val="single"/>
        </w:rPr>
      </w:pPr>
    </w:p>
    <w:p w:rsidR="00D27C8E" w:rsidRDefault="00D27C8E" w:rsidP="00CA6F77">
      <w:pPr>
        <w:autoSpaceDE w:val="0"/>
        <w:autoSpaceDN w:val="0"/>
        <w:adjustRightInd w:val="0"/>
        <w:spacing w:after="0" w:line="240" w:lineRule="auto"/>
        <w:jc w:val="both"/>
        <w:rPr>
          <w:rFonts w:ascii="ArialMT" w:hAnsi="ArialMT" w:cs="ArialMT"/>
          <w:sz w:val="18"/>
          <w:szCs w:val="18"/>
          <w:u w:val="single"/>
        </w:rPr>
      </w:pPr>
    </w:p>
    <w:p w:rsidR="00D27C8E" w:rsidRDefault="00D27C8E" w:rsidP="00D27C8E">
      <w:pPr>
        <w:autoSpaceDE w:val="0"/>
        <w:autoSpaceDN w:val="0"/>
        <w:adjustRightInd w:val="0"/>
        <w:spacing w:after="0" w:line="240" w:lineRule="auto"/>
        <w:jc w:val="both"/>
        <w:rPr>
          <w:rFonts w:ascii="59omrdlftmxnvhq" w:hAnsi="59omrdlftmxnvhq" w:cs="59omrdlftmxnvhq"/>
          <w:sz w:val="19"/>
          <w:szCs w:val="19"/>
        </w:rPr>
      </w:pPr>
    </w:p>
    <w:p w:rsidR="00D27C8E" w:rsidRDefault="00D27C8E" w:rsidP="00D27C8E">
      <w:pPr>
        <w:autoSpaceDE w:val="0"/>
        <w:autoSpaceDN w:val="0"/>
        <w:adjustRightInd w:val="0"/>
        <w:spacing w:after="0" w:line="240" w:lineRule="auto"/>
        <w:jc w:val="both"/>
        <w:rPr>
          <w:rFonts w:ascii="59omrdlftmxnvhq" w:hAnsi="59omrdlftmxnvhq" w:cs="59omrdlftmxnvhq"/>
          <w:sz w:val="19"/>
          <w:szCs w:val="19"/>
        </w:rPr>
      </w:pPr>
    </w:p>
    <w:tbl>
      <w:tblPr>
        <w:tblW w:w="862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92"/>
        <w:gridCol w:w="1654"/>
        <w:gridCol w:w="551"/>
        <w:gridCol w:w="1906"/>
        <w:gridCol w:w="1923"/>
      </w:tblGrid>
      <w:tr w:rsidR="00D27C8E" w:rsidTr="003D47C8">
        <w:tblPrEx>
          <w:tblCellMar>
            <w:top w:w="0" w:type="dxa"/>
            <w:bottom w:w="0" w:type="dxa"/>
          </w:tblCellMar>
        </w:tblPrEx>
        <w:trPr>
          <w:gridBefore w:val="1"/>
          <w:wBefore w:w="2592" w:type="dxa"/>
          <w:trHeight w:val="395"/>
        </w:trPr>
        <w:tc>
          <w:tcPr>
            <w:tcW w:w="6034" w:type="dxa"/>
            <w:gridSpan w:val="4"/>
          </w:tcPr>
          <w:p w:rsidR="00D27C8E" w:rsidRDefault="00D27C8E" w:rsidP="00683902">
            <w:pPr>
              <w:autoSpaceDE w:val="0"/>
              <w:autoSpaceDN w:val="0"/>
              <w:adjustRightInd w:val="0"/>
              <w:spacing w:after="0" w:line="240" w:lineRule="auto"/>
              <w:rPr>
                <w:rFonts w:ascii="Calibri" w:hAnsi="Calibri" w:cs="Calibri"/>
                <w:sz w:val="20"/>
                <w:szCs w:val="20"/>
              </w:rPr>
            </w:pPr>
            <w:r>
              <w:rPr>
                <w:rFonts w:ascii="Calibri" w:hAnsi="Calibri" w:cs="Calibri"/>
                <w:sz w:val="20"/>
                <w:szCs w:val="20"/>
              </w:rPr>
              <w:t>Pagos realizados y pendientes de pago en la fecha de cierre del balance</w:t>
            </w:r>
          </w:p>
        </w:tc>
      </w:tr>
      <w:tr w:rsidR="00D27C8E" w:rsidTr="003D47C8">
        <w:tblPrEx>
          <w:tblCellMar>
            <w:top w:w="0" w:type="dxa"/>
            <w:bottom w:w="0" w:type="dxa"/>
          </w:tblCellMar>
        </w:tblPrEx>
        <w:trPr>
          <w:gridBefore w:val="1"/>
          <w:wBefore w:w="2592" w:type="dxa"/>
          <w:trHeight w:val="497"/>
        </w:trPr>
        <w:tc>
          <w:tcPr>
            <w:tcW w:w="2205" w:type="dxa"/>
            <w:gridSpan w:val="2"/>
          </w:tcPr>
          <w:p w:rsidR="00D27C8E" w:rsidRDefault="00D27C8E"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2010</w:t>
            </w:r>
          </w:p>
        </w:tc>
        <w:tc>
          <w:tcPr>
            <w:tcW w:w="3829" w:type="dxa"/>
            <w:gridSpan w:val="2"/>
          </w:tcPr>
          <w:p w:rsidR="00D27C8E" w:rsidRDefault="00D27C8E" w:rsidP="00683902">
            <w:pPr>
              <w:autoSpaceDE w:val="0"/>
              <w:autoSpaceDN w:val="0"/>
              <w:adjustRightInd w:val="0"/>
              <w:spacing w:after="0" w:line="240" w:lineRule="auto"/>
              <w:ind w:left="843"/>
              <w:rPr>
                <w:rFonts w:ascii="Calibri" w:hAnsi="Calibri" w:cs="Calibri"/>
                <w:sz w:val="20"/>
                <w:szCs w:val="20"/>
              </w:rPr>
            </w:pPr>
            <w:r>
              <w:rPr>
                <w:rFonts w:ascii="Calibri" w:hAnsi="Calibri" w:cs="Calibri"/>
                <w:sz w:val="20"/>
                <w:szCs w:val="20"/>
              </w:rPr>
              <w:t>2009</w:t>
            </w:r>
          </w:p>
        </w:tc>
      </w:tr>
      <w:tr w:rsidR="00D27C8E" w:rsidTr="003D47C8">
        <w:tblPrEx>
          <w:tblCellMar>
            <w:top w:w="0" w:type="dxa"/>
            <w:bottom w:w="0" w:type="dxa"/>
          </w:tblCellMar>
        </w:tblPrEx>
        <w:trPr>
          <w:gridBefore w:val="1"/>
          <w:wBefore w:w="2592" w:type="dxa"/>
          <w:trHeight w:val="395"/>
        </w:trPr>
        <w:tc>
          <w:tcPr>
            <w:tcW w:w="1654" w:type="dxa"/>
          </w:tcPr>
          <w:p w:rsidR="00D27C8E" w:rsidRDefault="00D27C8E"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Importe</w:t>
            </w:r>
          </w:p>
          <w:p w:rsidR="00D27C8E" w:rsidRDefault="00D27C8E" w:rsidP="00683902">
            <w:pPr>
              <w:autoSpaceDE w:val="0"/>
              <w:autoSpaceDN w:val="0"/>
              <w:adjustRightInd w:val="0"/>
              <w:spacing w:after="0" w:line="240" w:lineRule="auto"/>
              <w:jc w:val="center"/>
              <w:rPr>
                <w:rFonts w:ascii="Calibri" w:hAnsi="Calibri" w:cs="Calibri"/>
                <w:sz w:val="20"/>
                <w:szCs w:val="20"/>
              </w:rPr>
            </w:pPr>
          </w:p>
        </w:tc>
        <w:tc>
          <w:tcPr>
            <w:tcW w:w="551" w:type="dxa"/>
          </w:tcPr>
          <w:p w:rsidR="00D27C8E" w:rsidRDefault="00D27C8E" w:rsidP="00683902">
            <w:pPr>
              <w:rPr>
                <w:rFonts w:ascii="Calibri" w:hAnsi="Calibri" w:cs="Calibri"/>
                <w:sz w:val="20"/>
                <w:szCs w:val="20"/>
              </w:rPr>
            </w:pPr>
            <w:r>
              <w:rPr>
                <w:rFonts w:ascii="Calibri" w:hAnsi="Calibri" w:cs="Calibri"/>
                <w:sz w:val="20"/>
                <w:szCs w:val="20"/>
              </w:rPr>
              <w:t>% *</w:t>
            </w:r>
          </w:p>
        </w:tc>
        <w:tc>
          <w:tcPr>
            <w:tcW w:w="1906" w:type="dxa"/>
          </w:tcPr>
          <w:p w:rsidR="00D27C8E" w:rsidRDefault="00D27C8E" w:rsidP="00683902">
            <w:pPr>
              <w:autoSpaceDE w:val="0"/>
              <w:autoSpaceDN w:val="0"/>
              <w:adjustRightInd w:val="0"/>
              <w:spacing w:after="0" w:line="240" w:lineRule="auto"/>
              <w:ind w:left="876"/>
              <w:rPr>
                <w:rFonts w:ascii="Calibri" w:hAnsi="Calibri" w:cs="Calibri"/>
                <w:sz w:val="20"/>
                <w:szCs w:val="20"/>
              </w:rPr>
            </w:pPr>
            <w:r>
              <w:rPr>
                <w:rFonts w:ascii="Calibri" w:hAnsi="Calibri" w:cs="Calibri"/>
                <w:sz w:val="20"/>
                <w:szCs w:val="20"/>
              </w:rPr>
              <w:t xml:space="preserve"> Importe</w:t>
            </w:r>
          </w:p>
          <w:p w:rsidR="00D27C8E" w:rsidRDefault="00D27C8E" w:rsidP="00683902">
            <w:pPr>
              <w:autoSpaceDE w:val="0"/>
              <w:autoSpaceDN w:val="0"/>
              <w:adjustRightInd w:val="0"/>
              <w:spacing w:after="0" w:line="240" w:lineRule="auto"/>
              <w:rPr>
                <w:rFonts w:ascii="Calibri" w:hAnsi="Calibri" w:cs="Calibri"/>
                <w:sz w:val="20"/>
                <w:szCs w:val="20"/>
              </w:rPr>
            </w:pPr>
          </w:p>
        </w:tc>
        <w:tc>
          <w:tcPr>
            <w:tcW w:w="1923" w:type="dxa"/>
          </w:tcPr>
          <w:p w:rsidR="00D27C8E" w:rsidRDefault="00D27C8E" w:rsidP="00683902">
            <w:pPr>
              <w:jc w:val="center"/>
              <w:rPr>
                <w:rFonts w:ascii="Calibri" w:hAnsi="Calibri" w:cs="Calibri"/>
                <w:sz w:val="20"/>
                <w:szCs w:val="20"/>
              </w:rPr>
            </w:pPr>
            <w:r>
              <w:rPr>
                <w:rFonts w:ascii="Calibri" w:hAnsi="Calibri" w:cs="Calibri"/>
                <w:sz w:val="20"/>
                <w:szCs w:val="20"/>
              </w:rPr>
              <w:t>% *</w:t>
            </w:r>
          </w:p>
        </w:tc>
      </w:tr>
      <w:tr w:rsidR="00D27C8E" w:rsidTr="003D47C8">
        <w:tblPrEx>
          <w:tblCellMar>
            <w:top w:w="0" w:type="dxa"/>
            <w:bottom w:w="0" w:type="dxa"/>
          </w:tblCellMar>
        </w:tblPrEx>
        <w:trPr>
          <w:trHeight w:val="480"/>
        </w:trPr>
        <w:tc>
          <w:tcPr>
            <w:tcW w:w="2592" w:type="dxa"/>
          </w:tcPr>
          <w:p w:rsidR="00D27C8E" w:rsidRDefault="00D27C8E"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 Dentro del plazo máximo legal</w:t>
            </w:r>
          </w:p>
        </w:tc>
        <w:tc>
          <w:tcPr>
            <w:tcW w:w="1654" w:type="dxa"/>
            <w:shd w:val="clear" w:color="auto" w:fill="auto"/>
          </w:tcPr>
          <w:p w:rsidR="00D27C8E" w:rsidRDefault="00D27C8E" w:rsidP="00D27C8E">
            <w:pPr>
              <w:jc w:val="center"/>
              <w:rPr>
                <w:rFonts w:ascii="Calibri" w:hAnsi="Calibri" w:cs="Calibri"/>
                <w:sz w:val="20"/>
                <w:szCs w:val="20"/>
              </w:rPr>
            </w:pPr>
            <w:r>
              <w:rPr>
                <w:rFonts w:ascii="Calibri" w:hAnsi="Calibri" w:cs="Calibri"/>
                <w:sz w:val="20"/>
                <w:szCs w:val="20"/>
              </w:rPr>
              <w:t>5.820.000</w:t>
            </w:r>
          </w:p>
        </w:tc>
        <w:tc>
          <w:tcPr>
            <w:tcW w:w="551" w:type="dxa"/>
            <w:shd w:val="clear" w:color="auto" w:fill="auto"/>
          </w:tcPr>
          <w:p w:rsidR="00D27C8E" w:rsidRDefault="00D27C8E" w:rsidP="00683902">
            <w:pPr>
              <w:rPr>
                <w:rFonts w:ascii="Calibri" w:hAnsi="Calibri" w:cs="Calibri"/>
                <w:sz w:val="20"/>
                <w:szCs w:val="20"/>
              </w:rPr>
            </w:pPr>
            <w:r>
              <w:rPr>
                <w:rFonts w:ascii="Calibri" w:hAnsi="Calibri" w:cs="Calibri"/>
                <w:sz w:val="20"/>
                <w:szCs w:val="20"/>
              </w:rPr>
              <w:t>94</w:t>
            </w:r>
          </w:p>
        </w:tc>
        <w:tc>
          <w:tcPr>
            <w:tcW w:w="1906" w:type="dxa"/>
            <w:shd w:val="clear" w:color="auto" w:fill="auto"/>
          </w:tcPr>
          <w:p w:rsidR="00D27C8E" w:rsidRDefault="00D27C8E" w:rsidP="00D27C8E">
            <w:pPr>
              <w:jc w:val="center"/>
              <w:rPr>
                <w:rFonts w:ascii="Calibri" w:hAnsi="Calibri" w:cs="Calibri"/>
                <w:sz w:val="20"/>
                <w:szCs w:val="20"/>
              </w:rPr>
            </w:pPr>
            <w:r>
              <w:rPr>
                <w:rFonts w:ascii="Calibri" w:hAnsi="Calibri" w:cs="Calibri"/>
                <w:sz w:val="20"/>
                <w:szCs w:val="20"/>
              </w:rPr>
              <w:t>6.905.000</w:t>
            </w:r>
          </w:p>
        </w:tc>
        <w:tc>
          <w:tcPr>
            <w:tcW w:w="1923" w:type="dxa"/>
            <w:shd w:val="clear" w:color="auto" w:fill="auto"/>
          </w:tcPr>
          <w:p w:rsidR="00D27C8E" w:rsidRDefault="00D27C8E" w:rsidP="003D47C8">
            <w:pPr>
              <w:jc w:val="center"/>
              <w:rPr>
                <w:rFonts w:ascii="Calibri" w:hAnsi="Calibri" w:cs="Calibri"/>
                <w:sz w:val="20"/>
                <w:szCs w:val="20"/>
              </w:rPr>
            </w:pPr>
            <w:r>
              <w:rPr>
                <w:rFonts w:ascii="Calibri" w:hAnsi="Calibri" w:cs="Calibri"/>
                <w:sz w:val="20"/>
                <w:szCs w:val="20"/>
              </w:rPr>
              <w:t>76</w:t>
            </w:r>
          </w:p>
        </w:tc>
      </w:tr>
      <w:tr w:rsidR="00D27C8E" w:rsidTr="003D47C8">
        <w:tblPrEx>
          <w:tblCellMar>
            <w:top w:w="0" w:type="dxa"/>
            <w:bottom w:w="0" w:type="dxa"/>
          </w:tblCellMar>
        </w:tblPrEx>
        <w:trPr>
          <w:trHeight w:val="484"/>
        </w:trPr>
        <w:tc>
          <w:tcPr>
            <w:tcW w:w="2592" w:type="dxa"/>
          </w:tcPr>
          <w:p w:rsidR="00D27C8E" w:rsidRDefault="00D27C8E"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Resto</w:t>
            </w:r>
          </w:p>
          <w:p w:rsidR="00D27C8E" w:rsidRDefault="00D27C8E" w:rsidP="00683902">
            <w:pPr>
              <w:autoSpaceDE w:val="0"/>
              <w:autoSpaceDN w:val="0"/>
              <w:adjustRightInd w:val="0"/>
              <w:spacing w:after="0" w:line="240" w:lineRule="auto"/>
              <w:ind w:left="182"/>
              <w:rPr>
                <w:rFonts w:ascii="Calibri" w:hAnsi="Calibri" w:cs="Calibri"/>
                <w:sz w:val="20"/>
                <w:szCs w:val="20"/>
              </w:rPr>
            </w:pPr>
          </w:p>
        </w:tc>
        <w:tc>
          <w:tcPr>
            <w:tcW w:w="1654" w:type="dxa"/>
            <w:shd w:val="clear" w:color="auto" w:fill="auto"/>
          </w:tcPr>
          <w:p w:rsidR="00D27C8E" w:rsidRDefault="00D27C8E" w:rsidP="00D27C8E">
            <w:pPr>
              <w:jc w:val="center"/>
              <w:rPr>
                <w:rFonts w:ascii="Calibri" w:hAnsi="Calibri" w:cs="Calibri"/>
                <w:sz w:val="20"/>
                <w:szCs w:val="20"/>
              </w:rPr>
            </w:pPr>
            <w:r>
              <w:rPr>
                <w:rFonts w:ascii="Calibri" w:hAnsi="Calibri" w:cs="Calibri"/>
                <w:sz w:val="20"/>
                <w:szCs w:val="20"/>
              </w:rPr>
              <w:t>380.000</w:t>
            </w:r>
          </w:p>
        </w:tc>
        <w:tc>
          <w:tcPr>
            <w:tcW w:w="551" w:type="dxa"/>
            <w:shd w:val="clear" w:color="auto" w:fill="auto"/>
          </w:tcPr>
          <w:p w:rsidR="00D27C8E" w:rsidRDefault="00D27C8E" w:rsidP="00683902">
            <w:pPr>
              <w:rPr>
                <w:rFonts w:ascii="Calibri" w:hAnsi="Calibri" w:cs="Calibri"/>
                <w:sz w:val="20"/>
                <w:szCs w:val="20"/>
              </w:rPr>
            </w:pPr>
            <w:r>
              <w:rPr>
                <w:rFonts w:ascii="Calibri" w:hAnsi="Calibri" w:cs="Calibri"/>
                <w:sz w:val="20"/>
                <w:szCs w:val="20"/>
              </w:rPr>
              <w:t>6</w:t>
            </w:r>
          </w:p>
        </w:tc>
        <w:tc>
          <w:tcPr>
            <w:tcW w:w="1906" w:type="dxa"/>
            <w:shd w:val="clear" w:color="auto" w:fill="auto"/>
          </w:tcPr>
          <w:p w:rsidR="00D27C8E" w:rsidRDefault="00D27C8E" w:rsidP="00D27C8E">
            <w:pPr>
              <w:jc w:val="center"/>
              <w:rPr>
                <w:rFonts w:ascii="Calibri" w:hAnsi="Calibri" w:cs="Calibri"/>
                <w:sz w:val="20"/>
                <w:szCs w:val="20"/>
              </w:rPr>
            </w:pPr>
            <w:r>
              <w:rPr>
                <w:rFonts w:ascii="Calibri" w:hAnsi="Calibri" w:cs="Calibri"/>
                <w:sz w:val="20"/>
                <w:szCs w:val="20"/>
              </w:rPr>
              <w:t>2.195.000</w:t>
            </w:r>
          </w:p>
        </w:tc>
        <w:tc>
          <w:tcPr>
            <w:tcW w:w="1923" w:type="dxa"/>
            <w:shd w:val="clear" w:color="auto" w:fill="auto"/>
          </w:tcPr>
          <w:p w:rsidR="00D27C8E" w:rsidRDefault="00D27C8E" w:rsidP="003D47C8">
            <w:pPr>
              <w:jc w:val="center"/>
              <w:rPr>
                <w:rFonts w:ascii="Calibri" w:hAnsi="Calibri" w:cs="Calibri"/>
                <w:sz w:val="20"/>
                <w:szCs w:val="20"/>
              </w:rPr>
            </w:pPr>
            <w:r>
              <w:rPr>
                <w:rFonts w:ascii="Calibri" w:hAnsi="Calibri" w:cs="Calibri"/>
                <w:sz w:val="20"/>
                <w:szCs w:val="20"/>
              </w:rPr>
              <w:t>24</w:t>
            </w:r>
          </w:p>
        </w:tc>
      </w:tr>
      <w:tr w:rsidR="00D27C8E" w:rsidTr="003D47C8">
        <w:tblPrEx>
          <w:tblCellMar>
            <w:top w:w="0" w:type="dxa"/>
            <w:bottom w:w="0" w:type="dxa"/>
          </w:tblCellMar>
        </w:tblPrEx>
        <w:trPr>
          <w:trHeight w:val="510"/>
        </w:trPr>
        <w:tc>
          <w:tcPr>
            <w:tcW w:w="2592" w:type="dxa"/>
          </w:tcPr>
          <w:p w:rsidR="00D27C8E" w:rsidRDefault="00D27C8E"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Total pagos del ejercicio</w:t>
            </w:r>
          </w:p>
          <w:p w:rsidR="00D27C8E" w:rsidRDefault="00D27C8E" w:rsidP="00683902">
            <w:pPr>
              <w:autoSpaceDE w:val="0"/>
              <w:autoSpaceDN w:val="0"/>
              <w:adjustRightInd w:val="0"/>
              <w:spacing w:after="0" w:line="240" w:lineRule="auto"/>
              <w:rPr>
                <w:rFonts w:ascii="Calibri" w:hAnsi="Calibri" w:cs="Calibri"/>
                <w:sz w:val="20"/>
                <w:szCs w:val="20"/>
              </w:rPr>
            </w:pPr>
          </w:p>
        </w:tc>
        <w:tc>
          <w:tcPr>
            <w:tcW w:w="1654" w:type="dxa"/>
          </w:tcPr>
          <w:p w:rsidR="00D27C8E" w:rsidRDefault="003D47C8" w:rsidP="00D27C8E">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6.200.000</w:t>
            </w:r>
          </w:p>
        </w:tc>
        <w:tc>
          <w:tcPr>
            <w:tcW w:w="551" w:type="dxa"/>
          </w:tcPr>
          <w:p w:rsidR="00D27C8E" w:rsidRDefault="00D27C8E" w:rsidP="00683902">
            <w:pPr>
              <w:rPr>
                <w:rFonts w:ascii="Calibri" w:hAnsi="Calibri" w:cs="Calibri"/>
                <w:sz w:val="20"/>
                <w:szCs w:val="20"/>
              </w:rPr>
            </w:pPr>
            <w:r>
              <w:rPr>
                <w:rFonts w:ascii="Calibri" w:hAnsi="Calibri" w:cs="Calibri"/>
                <w:sz w:val="20"/>
                <w:szCs w:val="20"/>
              </w:rPr>
              <w:t>100</w:t>
            </w:r>
          </w:p>
          <w:p w:rsidR="00D27C8E" w:rsidRDefault="00D27C8E" w:rsidP="00683902">
            <w:pPr>
              <w:autoSpaceDE w:val="0"/>
              <w:autoSpaceDN w:val="0"/>
              <w:adjustRightInd w:val="0"/>
              <w:spacing w:after="0" w:line="240" w:lineRule="auto"/>
              <w:rPr>
                <w:rFonts w:ascii="Calibri" w:hAnsi="Calibri" w:cs="Calibri"/>
                <w:sz w:val="20"/>
                <w:szCs w:val="20"/>
              </w:rPr>
            </w:pPr>
          </w:p>
        </w:tc>
        <w:tc>
          <w:tcPr>
            <w:tcW w:w="1906" w:type="dxa"/>
          </w:tcPr>
          <w:p w:rsidR="00D27C8E" w:rsidRDefault="003D47C8" w:rsidP="003D47C8">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9.100.000</w:t>
            </w:r>
          </w:p>
        </w:tc>
        <w:tc>
          <w:tcPr>
            <w:tcW w:w="1923" w:type="dxa"/>
          </w:tcPr>
          <w:p w:rsidR="00D27C8E" w:rsidRDefault="00D27C8E" w:rsidP="003D47C8">
            <w:pPr>
              <w:jc w:val="center"/>
              <w:rPr>
                <w:rFonts w:ascii="Calibri" w:hAnsi="Calibri" w:cs="Calibri"/>
                <w:sz w:val="20"/>
                <w:szCs w:val="20"/>
              </w:rPr>
            </w:pPr>
            <w:r>
              <w:rPr>
                <w:rFonts w:ascii="Calibri" w:hAnsi="Calibri" w:cs="Calibri"/>
                <w:sz w:val="20"/>
                <w:szCs w:val="20"/>
              </w:rPr>
              <w:t>100</w:t>
            </w:r>
          </w:p>
          <w:p w:rsidR="00D27C8E" w:rsidRDefault="00D27C8E" w:rsidP="00683902">
            <w:pPr>
              <w:autoSpaceDE w:val="0"/>
              <w:autoSpaceDN w:val="0"/>
              <w:adjustRightInd w:val="0"/>
              <w:spacing w:after="0" w:line="240" w:lineRule="auto"/>
              <w:rPr>
                <w:rFonts w:ascii="Calibri" w:hAnsi="Calibri" w:cs="Calibri"/>
                <w:sz w:val="20"/>
                <w:szCs w:val="20"/>
              </w:rPr>
            </w:pPr>
          </w:p>
        </w:tc>
      </w:tr>
      <w:tr w:rsidR="00D27C8E" w:rsidTr="003D47C8">
        <w:tblPrEx>
          <w:tblCellMar>
            <w:top w:w="0" w:type="dxa"/>
            <w:bottom w:w="0" w:type="dxa"/>
          </w:tblCellMar>
        </w:tblPrEx>
        <w:trPr>
          <w:trHeight w:val="464"/>
        </w:trPr>
        <w:tc>
          <w:tcPr>
            <w:tcW w:w="2592" w:type="dxa"/>
          </w:tcPr>
          <w:p w:rsidR="00D27C8E" w:rsidRDefault="00D27C8E"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PMPE (días) de pagos</w:t>
            </w:r>
          </w:p>
          <w:p w:rsidR="00D27C8E" w:rsidRDefault="00D27C8E" w:rsidP="00683902">
            <w:pPr>
              <w:autoSpaceDE w:val="0"/>
              <w:autoSpaceDN w:val="0"/>
              <w:adjustRightInd w:val="0"/>
              <w:spacing w:after="0" w:line="240" w:lineRule="auto"/>
              <w:ind w:left="182"/>
              <w:rPr>
                <w:rFonts w:ascii="Calibri" w:hAnsi="Calibri" w:cs="Calibri"/>
                <w:sz w:val="20"/>
                <w:szCs w:val="20"/>
              </w:rPr>
            </w:pPr>
          </w:p>
        </w:tc>
        <w:tc>
          <w:tcPr>
            <w:tcW w:w="1654" w:type="dxa"/>
          </w:tcPr>
          <w:p w:rsidR="00D27C8E" w:rsidRPr="003D47C8" w:rsidRDefault="003D47C8" w:rsidP="003D47C8">
            <w:pPr>
              <w:jc w:val="center"/>
              <w:rPr>
                <w:rFonts w:ascii="Calibri" w:hAnsi="Calibri" w:cs="Calibri"/>
                <w:sz w:val="20"/>
                <w:szCs w:val="20"/>
                <w:vertAlign w:val="superscript"/>
              </w:rPr>
            </w:pPr>
            <w:r>
              <w:rPr>
                <w:rFonts w:ascii="Calibri" w:hAnsi="Calibri" w:cs="Calibri"/>
                <w:sz w:val="20"/>
                <w:szCs w:val="20"/>
              </w:rPr>
              <w:t>33</w:t>
            </w:r>
            <w:r>
              <w:rPr>
                <w:rFonts w:ascii="Calibri" w:hAnsi="Calibri" w:cs="Calibri"/>
                <w:sz w:val="20"/>
                <w:szCs w:val="20"/>
                <w:vertAlign w:val="superscript"/>
              </w:rPr>
              <w:t>3</w:t>
            </w:r>
          </w:p>
          <w:p w:rsidR="00D27C8E" w:rsidRDefault="00D27C8E" w:rsidP="00683902">
            <w:pPr>
              <w:autoSpaceDE w:val="0"/>
              <w:autoSpaceDN w:val="0"/>
              <w:adjustRightInd w:val="0"/>
              <w:spacing w:after="0" w:line="240" w:lineRule="auto"/>
              <w:rPr>
                <w:rFonts w:ascii="Calibri" w:hAnsi="Calibri" w:cs="Calibri"/>
                <w:sz w:val="20"/>
                <w:szCs w:val="20"/>
              </w:rPr>
            </w:pPr>
          </w:p>
        </w:tc>
        <w:tc>
          <w:tcPr>
            <w:tcW w:w="551" w:type="dxa"/>
          </w:tcPr>
          <w:p w:rsidR="00D27C8E" w:rsidRDefault="00D27C8E" w:rsidP="00683902">
            <w:pPr>
              <w:rPr>
                <w:rFonts w:ascii="Calibri" w:hAnsi="Calibri" w:cs="Calibri"/>
                <w:sz w:val="20"/>
                <w:szCs w:val="20"/>
              </w:rPr>
            </w:pPr>
          </w:p>
          <w:p w:rsidR="00D27C8E" w:rsidRDefault="00D27C8E" w:rsidP="00683902">
            <w:pPr>
              <w:autoSpaceDE w:val="0"/>
              <w:autoSpaceDN w:val="0"/>
              <w:adjustRightInd w:val="0"/>
              <w:spacing w:after="0" w:line="240" w:lineRule="auto"/>
              <w:rPr>
                <w:rFonts w:ascii="Calibri" w:hAnsi="Calibri" w:cs="Calibri"/>
                <w:sz w:val="20"/>
                <w:szCs w:val="20"/>
              </w:rPr>
            </w:pPr>
          </w:p>
        </w:tc>
        <w:tc>
          <w:tcPr>
            <w:tcW w:w="1906" w:type="dxa"/>
          </w:tcPr>
          <w:p w:rsidR="00D27C8E" w:rsidRPr="003D47C8" w:rsidRDefault="003D47C8" w:rsidP="003D47C8">
            <w:pPr>
              <w:jc w:val="center"/>
              <w:rPr>
                <w:rFonts w:ascii="Calibri" w:hAnsi="Calibri" w:cs="Calibri"/>
                <w:sz w:val="20"/>
                <w:szCs w:val="20"/>
                <w:vertAlign w:val="superscript"/>
              </w:rPr>
            </w:pPr>
            <w:r>
              <w:rPr>
                <w:rFonts w:ascii="Calibri" w:hAnsi="Calibri" w:cs="Calibri"/>
                <w:sz w:val="20"/>
                <w:szCs w:val="20"/>
              </w:rPr>
              <w:t>72</w:t>
            </w:r>
            <w:r>
              <w:rPr>
                <w:rFonts w:ascii="Calibri" w:hAnsi="Calibri" w:cs="Calibri"/>
                <w:sz w:val="20"/>
                <w:szCs w:val="20"/>
                <w:vertAlign w:val="superscript"/>
              </w:rPr>
              <w:t>4</w:t>
            </w:r>
          </w:p>
          <w:p w:rsidR="00D27C8E" w:rsidRDefault="00D27C8E" w:rsidP="00683902">
            <w:pPr>
              <w:autoSpaceDE w:val="0"/>
              <w:autoSpaceDN w:val="0"/>
              <w:adjustRightInd w:val="0"/>
              <w:spacing w:after="0" w:line="240" w:lineRule="auto"/>
              <w:rPr>
                <w:rFonts w:ascii="Calibri" w:hAnsi="Calibri" w:cs="Calibri"/>
                <w:sz w:val="20"/>
                <w:szCs w:val="20"/>
              </w:rPr>
            </w:pPr>
          </w:p>
        </w:tc>
        <w:tc>
          <w:tcPr>
            <w:tcW w:w="1923" w:type="dxa"/>
          </w:tcPr>
          <w:p w:rsidR="00D27C8E" w:rsidRDefault="00D27C8E" w:rsidP="00683902">
            <w:pPr>
              <w:rPr>
                <w:rFonts w:ascii="Calibri" w:hAnsi="Calibri" w:cs="Calibri"/>
                <w:sz w:val="20"/>
                <w:szCs w:val="20"/>
              </w:rPr>
            </w:pPr>
          </w:p>
          <w:p w:rsidR="00D27C8E" w:rsidRDefault="00D27C8E" w:rsidP="00683902">
            <w:pPr>
              <w:autoSpaceDE w:val="0"/>
              <w:autoSpaceDN w:val="0"/>
              <w:adjustRightInd w:val="0"/>
              <w:spacing w:after="0" w:line="240" w:lineRule="auto"/>
              <w:rPr>
                <w:rFonts w:ascii="Calibri" w:hAnsi="Calibri" w:cs="Calibri"/>
                <w:sz w:val="20"/>
                <w:szCs w:val="20"/>
              </w:rPr>
            </w:pPr>
          </w:p>
        </w:tc>
      </w:tr>
      <w:tr w:rsidR="00D27C8E" w:rsidTr="003D47C8">
        <w:tblPrEx>
          <w:tblCellMar>
            <w:top w:w="0" w:type="dxa"/>
            <w:bottom w:w="0" w:type="dxa"/>
          </w:tblCellMar>
        </w:tblPrEx>
        <w:trPr>
          <w:trHeight w:val="885"/>
        </w:trPr>
        <w:tc>
          <w:tcPr>
            <w:tcW w:w="2592" w:type="dxa"/>
          </w:tcPr>
          <w:p w:rsidR="00D27C8E" w:rsidRDefault="00D27C8E"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Aplazamientos que a la fecha de cierre sobrepasan el plazo máximo legal.</w:t>
            </w:r>
          </w:p>
        </w:tc>
        <w:tc>
          <w:tcPr>
            <w:tcW w:w="1654" w:type="dxa"/>
          </w:tcPr>
          <w:p w:rsidR="00D27C8E" w:rsidRDefault="003D47C8" w:rsidP="003D47C8">
            <w:pPr>
              <w:jc w:val="center"/>
              <w:rPr>
                <w:rFonts w:ascii="Calibri" w:hAnsi="Calibri" w:cs="Calibri"/>
                <w:sz w:val="20"/>
                <w:szCs w:val="20"/>
              </w:rPr>
            </w:pPr>
            <w:r>
              <w:rPr>
                <w:rFonts w:ascii="Calibri" w:hAnsi="Calibri" w:cs="Calibri"/>
                <w:sz w:val="20"/>
                <w:szCs w:val="20"/>
              </w:rPr>
              <w:t>120.000</w:t>
            </w:r>
          </w:p>
          <w:p w:rsidR="00D27C8E" w:rsidRDefault="00D27C8E" w:rsidP="003D47C8">
            <w:pPr>
              <w:jc w:val="center"/>
              <w:rPr>
                <w:rFonts w:ascii="Calibri" w:hAnsi="Calibri" w:cs="Calibri"/>
                <w:sz w:val="20"/>
                <w:szCs w:val="20"/>
              </w:rPr>
            </w:pPr>
          </w:p>
          <w:p w:rsidR="00D27C8E" w:rsidRDefault="00D27C8E" w:rsidP="003D47C8">
            <w:pPr>
              <w:autoSpaceDE w:val="0"/>
              <w:autoSpaceDN w:val="0"/>
              <w:adjustRightInd w:val="0"/>
              <w:spacing w:after="0" w:line="240" w:lineRule="auto"/>
              <w:jc w:val="center"/>
              <w:rPr>
                <w:rFonts w:ascii="Calibri" w:hAnsi="Calibri" w:cs="Calibri"/>
                <w:sz w:val="20"/>
                <w:szCs w:val="20"/>
              </w:rPr>
            </w:pPr>
          </w:p>
        </w:tc>
        <w:tc>
          <w:tcPr>
            <w:tcW w:w="551" w:type="dxa"/>
          </w:tcPr>
          <w:p w:rsidR="00D27C8E" w:rsidRDefault="00D27C8E" w:rsidP="00683902">
            <w:pPr>
              <w:rPr>
                <w:rFonts w:ascii="Calibri" w:hAnsi="Calibri" w:cs="Calibri"/>
                <w:sz w:val="20"/>
                <w:szCs w:val="20"/>
              </w:rPr>
            </w:pPr>
          </w:p>
          <w:p w:rsidR="00D27C8E" w:rsidRDefault="00D27C8E" w:rsidP="00683902">
            <w:pPr>
              <w:rPr>
                <w:rFonts w:ascii="Calibri" w:hAnsi="Calibri" w:cs="Calibri"/>
                <w:sz w:val="20"/>
                <w:szCs w:val="20"/>
              </w:rPr>
            </w:pPr>
          </w:p>
          <w:p w:rsidR="00D27C8E" w:rsidRDefault="00D27C8E" w:rsidP="00683902">
            <w:pPr>
              <w:autoSpaceDE w:val="0"/>
              <w:autoSpaceDN w:val="0"/>
              <w:adjustRightInd w:val="0"/>
              <w:spacing w:after="0" w:line="240" w:lineRule="auto"/>
              <w:jc w:val="both"/>
              <w:rPr>
                <w:rFonts w:ascii="Calibri" w:hAnsi="Calibri" w:cs="Calibri"/>
                <w:sz w:val="20"/>
                <w:szCs w:val="20"/>
              </w:rPr>
            </w:pPr>
          </w:p>
        </w:tc>
        <w:tc>
          <w:tcPr>
            <w:tcW w:w="1906" w:type="dxa"/>
          </w:tcPr>
          <w:p w:rsidR="00D27C8E" w:rsidRDefault="003D47C8" w:rsidP="003D47C8">
            <w:pPr>
              <w:jc w:val="center"/>
              <w:rPr>
                <w:rFonts w:ascii="Calibri" w:hAnsi="Calibri" w:cs="Calibri"/>
                <w:sz w:val="20"/>
                <w:szCs w:val="20"/>
              </w:rPr>
            </w:pPr>
            <w:r>
              <w:rPr>
                <w:rFonts w:ascii="Calibri" w:hAnsi="Calibri" w:cs="Calibri"/>
                <w:sz w:val="20"/>
                <w:szCs w:val="20"/>
              </w:rPr>
              <w:t>118.000</w:t>
            </w:r>
          </w:p>
          <w:p w:rsidR="00D27C8E" w:rsidRDefault="00D27C8E" w:rsidP="00683902">
            <w:pPr>
              <w:autoSpaceDE w:val="0"/>
              <w:autoSpaceDN w:val="0"/>
              <w:adjustRightInd w:val="0"/>
              <w:spacing w:after="0" w:line="240" w:lineRule="auto"/>
              <w:jc w:val="both"/>
              <w:rPr>
                <w:rFonts w:ascii="Calibri" w:hAnsi="Calibri" w:cs="Calibri"/>
                <w:sz w:val="20"/>
                <w:szCs w:val="20"/>
              </w:rPr>
            </w:pPr>
          </w:p>
        </w:tc>
        <w:tc>
          <w:tcPr>
            <w:tcW w:w="1923" w:type="dxa"/>
          </w:tcPr>
          <w:p w:rsidR="00D27C8E" w:rsidRDefault="00D27C8E" w:rsidP="00683902">
            <w:pPr>
              <w:rPr>
                <w:rFonts w:ascii="Calibri" w:hAnsi="Calibri" w:cs="Calibri"/>
                <w:sz w:val="20"/>
                <w:szCs w:val="20"/>
              </w:rPr>
            </w:pPr>
          </w:p>
          <w:p w:rsidR="00D27C8E" w:rsidRDefault="00D27C8E" w:rsidP="00683902">
            <w:pPr>
              <w:rPr>
                <w:rFonts w:ascii="Calibri" w:hAnsi="Calibri" w:cs="Calibri"/>
                <w:sz w:val="20"/>
                <w:szCs w:val="20"/>
              </w:rPr>
            </w:pPr>
          </w:p>
          <w:p w:rsidR="00D27C8E" w:rsidRDefault="00D27C8E" w:rsidP="00683902">
            <w:pPr>
              <w:autoSpaceDE w:val="0"/>
              <w:autoSpaceDN w:val="0"/>
              <w:adjustRightInd w:val="0"/>
              <w:spacing w:after="0" w:line="240" w:lineRule="auto"/>
              <w:jc w:val="both"/>
              <w:rPr>
                <w:rFonts w:ascii="Calibri" w:hAnsi="Calibri" w:cs="Calibri"/>
                <w:sz w:val="20"/>
                <w:szCs w:val="20"/>
              </w:rPr>
            </w:pPr>
          </w:p>
        </w:tc>
      </w:tr>
    </w:tbl>
    <w:p w:rsidR="00D77C85" w:rsidRDefault="00D77C85" w:rsidP="003D47C8">
      <w:pPr>
        <w:autoSpaceDE w:val="0"/>
        <w:autoSpaceDN w:val="0"/>
        <w:adjustRightInd w:val="0"/>
        <w:spacing w:after="0" w:line="240" w:lineRule="auto"/>
        <w:jc w:val="both"/>
        <w:rPr>
          <w:rFonts w:ascii="TimesNewRomanPSMT" w:hAnsi="TimesNewRomanPSMT" w:cs="TimesNewRomanPSMT"/>
          <w:sz w:val="13"/>
          <w:szCs w:val="13"/>
        </w:rPr>
      </w:pPr>
    </w:p>
    <w:p w:rsidR="003D47C8" w:rsidRDefault="003D47C8" w:rsidP="003D47C8">
      <w:pPr>
        <w:autoSpaceDE w:val="0"/>
        <w:autoSpaceDN w:val="0"/>
        <w:adjustRightInd w:val="0"/>
        <w:spacing w:after="0" w:line="240" w:lineRule="auto"/>
        <w:jc w:val="both"/>
        <w:rPr>
          <w:rFonts w:ascii="TimesNewRomanPSMT" w:hAnsi="TimesNewRomanPSMT" w:cs="TimesNewRomanPSMT"/>
          <w:sz w:val="20"/>
          <w:szCs w:val="20"/>
        </w:rPr>
      </w:pPr>
      <w:r>
        <w:rPr>
          <w:rFonts w:ascii="TimesNewRomanPSMT" w:hAnsi="TimesNewRomanPSMT" w:cs="TimesNewRomanPSMT"/>
          <w:sz w:val="13"/>
          <w:szCs w:val="13"/>
        </w:rPr>
        <w:t xml:space="preserve">3 </w:t>
      </w:r>
      <w:r>
        <w:rPr>
          <w:rFonts w:ascii="TimesNewRomanPSMT" w:hAnsi="TimesNewRomanPSMT" w:cs="TimesNewRomanPSMT"/>
          <w:sz w:val="20"/>
          <w:szCs w:val="20"/>
        </w:rPr>
        <w:t>(238.000*17+17.000*42+125.000*65)/380.000</w:t>
      </w:r>
    </w:p>
    <w:p w:rsidR="003D47C8" w:rsidRDefault="003D47C8" w:rsidP="003D47C8">
      <w:pPr>
        <w:jc w:val="both"/>
      </w:pPr>
      <w:r>
        <w:rPr>
          <w:rFonts w:ascii="TimesNewRomanPSMT" w:hAnsi="TimesNewRomanPSMT" w:cs="TimesNewRomanPSMT"/>
          <w:sz w:val="13"/>
          <w:szCs w:val="13"/>
        </w:rPr>
        <w:t xml:space="preserve">4 </w:t>
      </w:r>
      <w:r>
        <w:rPr>
          <w:rFonts w:ascii="TimesNewRomanPSMT" w:hAnsi="TimesNewRomanPSMT" w:cs="TimesNewRomanPSMT"/>
          <w:sz w:val="20"/>
          <w:szCs w:val="20"/>
        </w:rPr>
        <w:t>(238.000*14+1.150.000*68+602.000*127+205.000*6)/2.195.000</w:t>
      </w:r>
    </w:p>
    <w:p w:rsidR="00CA6F77" w:rsidRPr="003D47C8" w:rsidRDefault="00CA6F77" w:rsidP="00CA6F77">
      <w:pPr>
        <w:autoSpaceDE w:val="0"/>
        <w:autoSpaceDN w:val="0"/>
        <w:adjustRightInd w:val="0"/>
        <w:spacing w:after="0" w:line="240" w:lineRule="auto"/>
        <w:jc w:val="both"/>
        <w:rPr>
          <w:rFonts w:ascii="ArialMT" w:hAnsi="ArialMT" w:cs="ArialMT"/>
          <w:sz w:val="18"/>
          <w:szCs w:val="18"/>
          <w:u w:val="single"/>
        </w:rPr>
      </w:pPr>
      <w:r w:rsidRPr="003D47C8">
        <w:rPr>
          <w:rFonts w:ascii="ArialMT" w:hAnsi="ArialMT" w:cs="ArialMT"/>
          <w:sz w:val="18"/>
          <w:szCs w:val="18"/>
          <w:u w:val="single"/>
        </w:rPr>
        <w:t>Si elabora memoria modelo abreviada:</w:t>
      </w:r>
    </w:p>
    <w:p w:rsidR="003D47C8" w:rsidRDefault="003D47C8" w:rsidP="003D47C8">
      <w:pPr>
        <w:autoSpaceDE w:val="0"/>
        <w:autoSpaceDN w:val="0"/>
        <w:adjustRightInd w:val="0"/>
        <w:spacing w:after="0" w:line="240" w:lineRule="auto"/>
        <w:jc w:val="both"/>
        <w:rPr>
          <w:rFonts w:ascii="59omrdlftmxnvhq" w:hAnsi="59omrdlftmxnvhq" w:cs="59omrdlftmxnvhq"/>
          <w:sz w:val="19"/>
          <w:szCs w:val="19"/>
        </w:rPr>
      </w:pPr>
    </w:p>
    <w:tbl>
      <w:tblPr>
        <w:tblW w:w="862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92"/>
        <w:gridCol w:w="1654"/>
        <w:gridCol w:w="551"/>
        <w:gridCol w:w="1906"/>
        <w:gridCol w:w="1923"/>
      </w:tblGrid>
      <w:tr w:rsidR="003D47C8" w:rsidTr="00683902">
        <w:tblPrEx>
          <w:tblCellMar>
            <w:top w:w="0" w:type="dxa"/>
            <w:bottom w:w="0" w:type="dxa"/>
          </w:tblCellMar>
        </w:tblPrEx>
        <w:trPr>
          <w:gridBefore w:val="1"/>
          <w:wBefore w:w="2592" w:type="dxa"/>
          <w:trHeight w:val="395"/>
        </w:trPr>
        <w:tc>
          <w:tcPr>
            <w:tcW w:w="6034" w:type="dxa"/>
            <w:gridSpan w:val="4"/>
          </w:tcPr>
          <w:p w:rsidR="003D47C8" w:rsidRDefault="003D47C8" w:rsidP="00683902">
            <w:pPr>
              <w:autoSpaceDE w:val="0"/>
              <w:autoSpaceDN w:val="0"/>
              <w:adjustRightInd w:val="0"/>
              <w:spacing w:after="0" w:line="240" w:lineRule="auto"/>
              <w:rPr>
                <w:rFonts w:ascii="Calibri" w:hAnsi="Calibri" w:cs="Calibri"/>
                <w:sz w:val="20"/>
                <w:szCs w:val="20"/>
              </w:rPr>
            </w:pPr>
            <w:r>
              <w:rPr>
                <w:rFonts w:ascii="Calibri" w:hAnsi="Calibri" w:cs="Calibri"/>
                <w:sz w:val="20"/>
                <w:szCs w:val="20"/>
              </w:rPr>
              <w:t>Pagos realizados y pendientes de pago en la fecha de cierre del balance</w:t>
            </w:r>
          </w:p>
        </w:tc>
      </w:tr>
      <w:tr w:rsidR="003D47C8" w:rsidTr="00683902">
        <w:tblPrEx>
          <w:tblCellMar>
            <w:top w:w="0" w:type="dxa"/>
            <w:bottom w:w="0" w:type="dxa"/>
          </w:tblCellMar>
        </w:tblPrEx>
        <w:trPr>
          <w:gridBefore w:val="1"/>
          <w:wBefore w:w="2592" w:type="dxa"/>
          <w:trHeight w:val="497"/>
        </w:trPr>
        <w:tc>
          <w:tcPr>
            <w:tcW w:w="2205" w:type="dxa"/>
            <w:gridSpan w:val="2"/>
          </w:tcPr>
          <w:p w:rsidR="003D47C8" w:rsidRDefault="003D47C8"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2010</w:t>
            </w:r>
          </w:p>
        </w:tc>
        <w:tc>
          <w:tcPr>
            <w:tcW w:w="3829" w:type="dxa"/>
            <w:gridSpan w:val="2"/>
          </w:tcPr>
          <w:p w:rsidR="003D47C8" w:rsidRDefault="003D47C8" w:rsidP="00683902">
            <w:pPr>
              <w:autoSpaceDE w:val="0"/>
              <w:autoSpaceDN w:val="0"/>
              <w:adjustRightInd w:val="0"/>
              <w:spacing w:after="0" w:line="240" w:lineRule="auto"/>
              <w:ind w:left="843"/>
              <w:rPr>
                <w:rFonts w:ascii="Calibri" w:hAnsi="Calibri" w:cs="Calibri"/>
                <w:sz w:val="20"/>
                <w:szCs w:val="20"/>
              </w:rPr>
            </w:pPr>
            <w:r>
              <w:rPr>
                <w:rFonts w:ascii="Calibri" w:hAnsi="Calibri" w:cs="Calibri"/>
                <w:sz w:val="20"/>
                <w:szCs w:val="20"/>
              </w:rPr>
              <w:t>2009</w:t>
            </w:r>
          </w:p>
        </w:tc>
      </w:tr>
      <w:tr w:rsidR="003D47C8" w:rsidTr="00683902">
        <w:tblPrEx>
          <w:tblCellMar>
            <w:top w:w="0" w:type="dxa"/>
            <w:bottom w:w="0" w:type="dxa"/>
          </w:tblCellMar>
        </w:tblPrEx>
        <w:trPr>
          <w:gridBefore w:val="1"/>
          <w:wBefore w:w="2592" w:type="dxa"/>
          <w:trHeight w:val="395"/>
        </w:trPr>
        <w:tc>
          <w:tcPr>
            <w:tcW w:w="1654" w:type="dxa"/>
          </w:tcPr>
          <w:p w:rsidR="003D47C8" w:rsidRDefault="003D47C8"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Importe</w:t>
            </w:r>
          </w:p>
          <w:p w:rsidR="003D47C8" w:rsidRDefault="003D47C8" w:rsidP="00683902">
            <w:pPr>
              <w:autoSpaceDE w:val="0"/>
              <w:autoSpaceDN w:val="0"/>
              <w:adjustRightInd w:val="0"/>
              <w:spacing w:after="0" w:line="240" w:lineRule="auto"/>
              <w:jc w:val="center"/>
              <w:rPr>
                <w:rFonts w:ascii="Calibri" w:hAnsi="Calibri" w:cs="Calibri"/>
                <w:sz w:val="20"/>
                <w:szCs w:val="20"/>
              </w:rPr>
            </w:pPr>
          </w:p>
        </w:tc>
        <w:tc>
          <w:tcPr>
            <w:tcW w:w="551" w:type="dxa"/>
          </w:tcPr>
          <w:p w:rsidR="003D47C8" w:rsidRDefault="003D47C8" w:rsidP="00683902">
            <w:pPr>
              <w:rPr>
                <w:rFonts w:ascii="Calibri" w:hAnsi="Calibri" w:cs="Calibri"/>
                <w:sz w:val="20"/>
                <w:szCs w:val="20"/>
              </w:rPr>
            </w:pPr>
            <w:r>
              <w:rPr>
                <w:rFonts w:ascii="Calibri" w:hAnsi="Calibri" w:cs="Calibri"/>
                <w:sz w:val="20"/>
                <w:szCs w:val="20"/>
              </w:rPr>
              <w:t>% *</w:t>
            </w:r>
          </w:p>
        </w:tc>
        <w:tc>
          <w:tcPr>
            <w:tcW w:w="1906" w:type="dxa"/>
          </w:tcPr>
          <w:p w:rsidR="003D47C8" w:rsidRDefault="003D47C8" w:rsidP="00683902">
            <w:pPr>
              <w:autoSpaceDE w:val="0"/>
              <w:autoSpaceDN w:val="0"/>
              <w:adjustRightInd w:val="0"/>
              <w:spacing w:after="0" w:line="240" w:lineRule="auto"/>
              <w:ind w:left="876"/>
              <w:rPr>
                <w:rFonts w:ascii="Calibri" w:hAnsi="Calibri" w:cs="Calibri"/>
                <w:sz w:val="20"/>
                <w:szCs w:val="20"/>
              </w:rPr>
            </w:pPr>
            <w:r>
              <w:rPr>
                <w:rFonts w:ascii="Calibri" w:hAnsi="Calibri" w:cs="Calibri"/>
                <w:sz w:val="20"/>
                <w:szCs w:val="20"/>
              </w:rPr>
              <w:t xml:space="preserve"> Importe</w:t>
            </w:r>
          </w:p>
          <w:p w:rsidR="003D47C8" w:rsidRDefault="003D47C8" w:rsidP="00683902">
            <w:pPr>
              <w:autoSpaceDE w:val="0"/>
              <w:autoSpaceDN w:val="0"/>
              <w:adjustRightInd w:val="0"/>
              <w:spacing w:after="0" w:line="240" w:lineRule="auto"/>
              <w:rPr>
                <w:rFonts w:ascii="Calibri" w:hAnsi="Calibri" w:cs="Calibri"/>
                <w:sz w:val="20"/>
                <w:szCs w:val="20"/>
              </w:rPr>
            </w:pPr>
          </w:p>
        </w:tc>
        <w:tc>
          <w:tcPr>
            <w:tcW w:w="1923" w:type="dxa"/>
          </w:tcPr>
          <w:p w:rsidR="003D47C8" w:rsidRDefault="003D47C8" w:rsidP="00683902">
            <w:pPr>
              <w:jc w:val="center"/>
              <w:rPr>
                <w:rFonts w:ascii="Calibri" w:hAnsi="Calibri" w:cs="Calibri"/>
                <w:sz w:val="20"/>
                <w:szCs w:val="20"/>
              </w:rPr>
            </w:pPr>
            <w:r>
              <w:rPr>
                <w:rFonts w:ascii="Calibri" w:hAnsi="Calibri" w:cs="Calibri"/>
                <w:sz w:val="20"/>
                <w:szCs w:val="20"/>
              </w:rPr>
              <w:t>% *</w:t>
            </w:r>
          </w:p>
        </w:tc>
      </w:tr>
      <w:tr w:rsidR="003D47C8" w:rsidTr="00683902">
        <w:tblPrEx>
          <w:tblCellMar>
            <w:top w:w="0" w:type="dxa"/>
            <w:bottom w:w="0" w:type="dxa"/>
          </w:tblCellMar>
        </w:tblPrEx>
        <w:trPr>
          <w:trHeight w:val="480"/>
        </w:trPr>
        <w:tc>
          <w:tcPr>
            <w:tcW w:w="2592" w:type="dxa"/>
          </w:tcPr>
          <w:p w:rsidR="003D47C8" w:rsidRDefault="003D47C8"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 Dentro del plazo máximo legal</w:t>
            </w:r>
          </w:p>
        </w:tc>
        <w:tc>
          <w:tcPr>
            <w:tcW w:w="1654" w:type="dxa"/>
            <w:shd w:val="clear" w:color="auto" w:fill="auto"/>
          </w:tcPr>
          <w:p w:rsidR="003D47C8" w:rsidRDefault="003D47C8" w:rsidP="00683902">
            <w:pPr>
              <w:jc w:val="center"/>
              <w:rPr>
                <w:rFonts w:ascii="Calibri" w:hAnsi="Calibri" w:cs="Calibri"/>
                <w:sz w:val="20"/>
                <w:szCs w:val="20"/>
              </w:rPr>
            </w:pPr>
            <w:r>
              <w:rPr>
                <w:rFonts w:ascii="Calibri" w:hAnsi="Calibri" w:cs="Calibri"/>
                <w:sz w:val="20"/>
                <w:szCs w:val="20"/>
              </w:rPr>
              <w:t>5.820.000</w:t>
            </w:r>
          </w:p>
        </w:tc>
        <w:tc>
          <w:tcPr>
            <w:tcW w:w="551" w:type="dxa"/>
            <w:shd w:val="clear" w:color="auto" w:fill="auto"/>
          </w:tcPr>
          <w:p w:rsidR="003D47C8" w:rsidRDefault="003D47C8" w:rsidP="00683902">
            <w:pPr>
              <w:rPr>
                <w:rFonts w:ascii="Calibri" w:hAnsi="Calibri" w:cs="Calibri"/>
                <w:sz w:val="20"/>
                <w:szCs w:val="20"/>
              </w:rPr>
            </w:pPr>
            <w:r>
              <w:rPr>
                <w:rFonts w:ascii="Calibri" w:hAnsi="Calibri" w:cs="Calibri"/>
                <w:sz w:val="20"/>
                <w:szCs w:val="20"/>
              </w:rPr>
              <w:t>94</w:t>
            </w:r>
          </w:p>
        </w:tc>
        <w:tc>
          <w:tcPr>
            <w:tcW w:w="1906" w:type="dxa"/>
            <w:shd w:val="clear" w:color="auto" w:fill="auto"/>
          </w:tcPr>
          <w:p w:rsidR="003D47C8" w:rsidRDefault="003D47C8" w:rsidP="00683902">
            <w:pPr>
              <w:jc w:val="center"/>
              <w:rPr>
                <w:rFonts w:ascii="Calibri" w:hAnsi="Calibri" w:cs="Calibri"/>
                <w:sz w:val="20"/>
                <w:szCs w:val="20"/>
              </w:rPr>
            </w:pPr>
            <w:r>
              <w:rPr>
                <w:rFonts w:ascii="Calibri" w:hAnsi="Calibri" w:cs="Calibri"/>
                <w:sz w:val="20"/>
                <w:szCs w:val="20"/>
              </w:rPr>
              <w:t>6.905.000</w:t>
            </w:r>
          </w:p>
        </w:tc>
        <w:tc>
          <w:tcPr>
            <w:tcW w:w="1923" w:type="dxa"/>
            <w:shd w:val="clear" w:color="auto" w:fill="auto"/>
          </w:tcPr>
          <w:p w:rsidR="003D47C8" w:rsidRDefault="003D47C8" w:rsidP="00683902">
            <w:pPr>
              <w:jc w:val="center"/>
              <w:rPr>
                <w:rFonts w:ascii="Calibri" w:hAnsi="Calibri" w:cs="Calibri"/>
                <w:sz w:val="20"/>
                <w:szCs w:val="20"/>
              </w:rPr>
            </w:pPr>
            <w:r>
              <w:rPr>
                <w:rFonts w:ascii="Calibri" w:hAnsi="Calibri" w:cs="Calibri"/>
                <w:sz w:val="20"/>
                <w:szCs w:val="20"/>
              </w:rPr>
              <w:t>76</w:t>
            </w:r>
          </w:p>
        </w:tc>
      </w:tr>
      <w:tr w:rsidR="003D47C8" w:rsidTr="00683902">
        <w:tblPrEx>
          <w:tblCellMar>
            <w:top w:w="0" w:type="dxa"/>
            <w:bottom w:w="0" w:type="dxa"/>
          </w:tblCellMar>
        </w:tblPrEx>
        <w:trPr>
          <w:trHeight w:val="484"/>
        </w:trPr>
        <w:tc>
          <w:tcPr>
            <w:tcW w:w="2592" w:type="dxa"/>
          </w:tcPr>
          <w:p w:rsidR="003D47C8" w:rsidRDefault="003D47C8"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Resto</w:t>
            </w:r>
          </w:p>
          <w:p w:rsidR="003D47C8" w:rsidRDefault="003D47C8" w:rsidP="00683902">
            <w:pPr>
              <w:autoSpaceDE w:val="0"/>
              <w:autoSpaceDN w:val="0"/>
              <w:adjustRightInd w:val="0"/>
              <w:spacing w:after="0" w:line="240" w:lineRule="auto"/>
              <w:ind w:left="182"/>
              <w:rPr>
                <w:rFonts w:ascii="Calibri" w:hAnsi="Calibri" w:cs="Calibri"/>
                <w:sz w:val="20"/>
                <w:szCs w:val="20"/>
              </w:rPr>
            </w:pPr>
          </w:p>
        </w:tc>
        <w:tc>
          <w:tcPr>
            <w:tcW w:w="1654" w:type="dxa"/>
            <w:shd w:val="clear" w:color="auto" w:fill="auto"/>
          </w:tcPr>
          <w:p w:rsidR="003D47C8" w:rsidRDefault="003D47C8" w:rsidP="00683902">
            <w:pPr>
              <w:jc w:val="center"/>
              <w:rPr>
                <w:rFonts w:ascii="Calibri" w:hAnsi="Calibri" w:cs="Calibri"/>
                <w:sz w:val="20"/>
                <w:szCs w:val="20"/>
              </w:rPr>
            </w:pPr>
            <w:r>
              <w:rPr>
                <w:rFonts w:ascii="Calibri" w:hAnsi="Calibri" w:cs="Calibri"/>
                <w:sz w:val="20"/>
                <w:szCs w:val="20"/>
              </w:rPr>
              <w:t>380.000</w:t>
            </w:r>
          </w:p>
        </w:tc>
        <w:tc>
          <w:tcPr>
            <w:tcW w:w="551" w:type="dxa"/>
            <w:shd w:val="clear" w:color="auto" w:fill="auto"/>
          </w:tcPr>
          <w:p w:rsidR="003D47C8" w:rsidRDefault="003D47C8" w:rsidP="00683902">
            <w:pPr>
              <w:rPr>
                <w:rFonts w:ascii="Calibri" w:hAnsi="Calibri" w:cs="Calibri"/>
                <w:sz w:val="20"/>
                <w:szCs w:val="20"/>
              </w:rPr>
            </w:pPr>
            <w:r>
              <w:rPr>
                <w:rFonts w:ascii="Calibri" w:hAnsi="Calibri" w:cs="Calibri"/>
                <w:sz w:val="20"/>
                <w:szCs w:val="20"/>
              </w:rPr>
              <w:t>6</w:t>
            </w:r>
          </w:p>
        </w:tc>
        <w:tc>
          <w:tcPr>
            <w:tcW w:w="1906" w:type="dxa"/>
            <w:shd w:val="clear" w:color="auto" w:fill="auto"/>
          </w:tcPr>
          <w:p w:rsidR="003D47C8" w:rsidRDefault="003D47C8" w:rsidP="00683902">
            <w:pPr>
              <w:jc w:val="center"/>
              <w:rPr>
                <w:rFonts w:ascii="Calibri" w:hAnsi="Calibri" w:cs="Calibri"/>
                <w:sz w:val="20"/>
                <w:szCs w:val="20"/>
              </w:rPr>
            </w:pPr>
            <w:r>
              <w:rPr>
                <w:rFonts w:ascii="Calibri" w:hAnsi="Calibri" w:cs="Calibri"/>
                <w:sz w:val="20"/>
                <w:szCs w:val="20"/>
              </w:rPr>
              <w:t>2.195.000</w:t>
            </w:r>
          </w:p>
        </w:tc>
        <w:tc>
          <w:tcPr>
            <w:tcW w:w="1923" w:type="dxa"/>
            <w:shd w:val="clear" w:color="auto" w:fill="auto"/>
          </w:tcPr>
          <w:p w:rsidR="003D47C8" w:rsidRDefault="003D47C8" w:rsidP="00683902">
            <w:pPr>
              <w:jc w:val="center"/>
              <w:rPr>
                <w:rFonts w:ascii="Calibri" w:hAnsi="Calibri" w:cs="Calibri"/>
                <w:sz w:val="20"/>
                <w:szCs w:val="20"/>
              </w:rPr>
            </w:pPr>
            <w:r>
              <w:rPr>
                <w:rFonts w:ascii="Calibri" w:hAnsi="Calibri" w:cs="Calibri"/>
                <w:sz w:val="20"/>
                <w:szCs w:val="20"/>
              </w:rPr>
              <w:t>24</w:t>
            </w:r>
          </w:p>
        </w:tc>
      </w:tr>
      <w:tr w:rsidR="003D47C8" w:rsidTr="00683902">
        <w:tblPrEx>
          <w:tblCellMar>
            <w:top w:w="0" w:type="dxa"/>
            <w:bottom w:w="0" w:type="dxa"/>
          </w:tblCellMar>
        </w:tblPrEx>
        <w:trPr>
          <w:trHeight w:val="510"/>
        </w:trPr>
        <w:tc>
          <w:tcPr>
            <w:tcW w:w="2592" w:type="dxa"/>
          </w:tcPr>
          <w:p w:rsidR="003D47C8" w:rsidRDefault="003D47C8"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Total pagos del ejercicio</w:t>
            </w:r>
          </w:p>
          <w:p w:rsidR="003D47C8" w:rsidRDefault="003D47C8" w:rsidP="00683902">
            <w:pPr>
              <w:autoSpaceDE w:val="0"/>
              <w:autoSpaceDN w:val="0"/>
              <w:adjustRightInd w:val="0"/>
              <w:spacing w:after="0" w:line="240" w:lineRule="auto"/>
              <w:rPr>
                <w:rFonts w:ascii="Calibri" w:hAnsi="Calibri" w:cs="Calibri"/>
                <w:sz w:val="20"/>
                <w:szCs w:val="20"/>
              </w:rPr>
            </w:pPr>
          </w:p>
        </w:tc>
        <w:tc>
          <w:tcPr>
            <w:tcW w:w="1654" w:type="dxa"/>
          </w:tcPr>
          <w:p w:rsidR="003D47C8" w:rsidRDefault="003D47C8"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6.200.000</w:t>
            </w:r>
          </w:p>
        </w:tc>
        <w:tc>
          <w:tcPr>
            <w:tcW w:w="551" w:type="dxa"/>
          </w:tcPr>
          <w:p w:rsidR="003D47C8" w:rsidRDefault="003D47C8" w:rsidP="00683902">
            <w:pPr>
              <w:rPr>
                <w:rFonts w:ascii="Calibri" w:hAnsi="Calibri" w:cs="Calibri"/>
                <w:sz w:val="20"/>
                <w:szCs w:val="20"/>
              </w:rPr>
            </w:pPr>
            <w:r>
              <w:rPr>
                <w:rFonts w:ascii="Calibri" w:hAnsi="Calibri" w:cs="Calibri"/>
                <w:sz w:val="20"/>
                <w:szCs w:val="20"/>
              </w:rPr>
              <w:t>100</w:t>
            </w:r>
          </w:p>
          <w:p w:rsidR="003D47C8" w:rsidRDefault="003D47C8" w:rsidP="00683902">
            <w:pPr>
              <w:autoSpaceDE w:val="0"/>
              <w:autoSpaceDN w:val="0"/>
              <w:adjustRightInd w:val="0"/>
              <w:spacing w:after="0" w:line="240" w:lineRule="auto"/>
              <w:rPr>
                <w:rFonts w:ascii="Calibri" w:hAnsi="Calibri" w:cs="Calibri"/>
                <w:sz w:val="20"/>
                <w:szCs w:val="20"/>
              </w:rPr>
            </w:pPr>
          </w:p>
        </w:tc>
        <w:tc>
          <w:tcPr>
            <w:tcW w:w="1906" w:type="dxa"/>
          </w:tcPr>
          <w:p w:rsidR="003D47C8" w:rsidRDefault="003D47C8" w:rsidP="00683902">
            <w:pPr>
              <w:autoSpaceDE w:val="0"/>
              <w:autoSpaceDN w:val="0"/>
              <w:adjustRightInd w:val="0"/>
              <w:spacing w:after="0" w:line="240" w:lineRule="auto"/>
              <w:jc w:val="center"/>
              <w:rPr>
                <w:rFonts w:ascii="Calibri" w:hAnsi="Calibri" w:cs="Calibri"/>
                <w:sz w:val="20"/>
                <w:szCs w:val="20"/>
              </w:rPr>
            </w:pPr>
            <w:r>
              <w:rPr>
                <w:rFonts w:ascii="Calibri" w:hAnsi="Calibri" w:cs="Calibri"/>
                <w:sz w:val="20"/>
                <w:szCs w:val="20"/>
              </w:rPr>
              <w:t>9.100.000</w:t>
            </w:r>
          </w:p>
        </w:tc>
        <w:tc>
          <w:tcPr>
            <w:tcW w:w="1923" w:type="dxa"/>
          </w:tcPr>
          <w:p w:rsidR="003D47C8" w:rsidRDefault="003D47C8" w:rsidP="00683902">
            <w:pPr>
              <w:jc w:val="center"/>
              <w:rPr>
                <w:rFonts w:ascii="Calibri" w:hAnsi="Calibri" w:cs="Calibri"/>
                <w:sz w:val="20"/>
                <w:szCs w:val="20"/>
              </w:rPr>
            </w:pPr>
            <w:r>
              <w:rPr>
                <w:rFonts w:ascii="Calibri" w:hAnsi="Calibri" w:cs="Calibri"/>
                <w:sz w:val="20"/>
                <w:szCs w:val="20"/>
              </w:rPr>
              <w:t>100</w:t>
            </w:r>
          </w:p>
          <w:p w:rsidR="003D47C8" w:rsidRDefault="003D47C8" w:rsidP="00683902">
            <w:pPr>
              <w:autoSpaceDE w:val="0"/>
              <w:autoSpaceDN w:val="0"/>
              <w:adjustRightInd w:val="0"/>
              <w:spacing w:after="0" w:line="240" w:lineRule="auto"/>
              <w:rPr>
                <w:rFonts w:ascii="Calibri" w:hAnsi="Calibri" w:cs="Calibri"/>
                <w:sz w:val="20"/>
                <w:szCs w:val="20"/>
              </w:rPr>
            </w:pPr>
          </w:p>
        </w:tc>
      </w:tr>
      <w:tr w:rsidR="003D47C8" w:rsidTr="00683902">
        <w:tblPrEx>
          <w:tblCellMar>
            <w:top w:w="0" w:type="dxa"/>
            <w:bottom w:w="0" w:type="dxa"/>
          </w:tblCellMar>
        </w:tblPrEx>
        <w:trPr>
          <w:trHeight w:val="885"/>
        </w:trPr>
        <w:tc>
          <w:tcPr>
            <w:tcW w:w="2592" w:type="dxa"/>
          </w:tcPr>
          <w:p w:rsidR="003D47C8" w:rsidRDefault="003D47C8" w:rsidP="00683902">
            <w:pPr>
              <w:autoSpaceDE w:val="0"/>
              <w:autoSpaceDN w:val="0"/>
              <w:adjustRightInd w:val="0"/>
              <w:spacing w:after="0" w:line="240" w:lineRule="auto"/>
              <w:ind w:left="182"/>
              <w:rPr>
                <w:rFonts w:ascii="Calibri" w:hAnsi="Calibri" w:cs="Calibri"/>
                <w:sz w:val="20"/>
                <w:szCs w:val="20"/>
              </w:rPr>
            </w:pPr>
            <w:r>
              <w:rPr>
                <w:rFonts w:ascii="Calibri" w:hAnsi="Calibri" w:cs="Calibri"/>
                <w:sz w:val="20"/>
                <w:szCs w:val="20"/>
              </w:rPr>
              <w:t>Aplazamientos que a la fecha de cierre sobrepasan el plazo máximo legal.</w:t>
            </w:r>
          </w:p>
        </w:tc>
        <w:tc>
          <w:tcPr>
            <w:tcW w:w="1654" w:type="dxa"/>
          </w:tcPr>
          <w:p w:rsidR="003D47C8" w:rsidRDefault="003D47C8" w:rsidP="00683902">
            <w:pPr>
              <w:jc w:val="center"/>
              <w:rPr>
                <w:rFonts w:ascii="Calibri" w:hAnsi="Calibri" w:cs="Calibri"/>
                <w:sz w:val="20"/>
                <w:szCs w:val="20"/>
              </w:rPr>
            </w:pPr>
            <w:r>
              <w:rPr>
                <w:rFonts w:ascii="Calibri" w:hAnsi="Calibri" w:cs="Calibri"/>
                <w:sz w:val="20"/>
                <w:szCs w:val="20"/>
              </w:rPr>
              <w:t>120.000</w:t>
            </w:r>
          </w:p>
          <w:p w:rsidR="003D47C8" w:rsidRDefault="003D47C8" w:rsidP="00683902">
            <w:pPr>
              <w:jc w:val="center"/>
              <w:rPr>
                <w:rFonts w:ascii="Calibri" w:hAnsi="Calibri" w:cs="Calibri"/>
                <w:sz w:val="20"/>
                <w:szCs w:val="20"/>
              </w:rPr>
            </w:pPr>
          </w:p>
          <w:p w:rsidR="003D47C8" w:rsidRDefault="003D47C8" w:rsidP="00683902">
            <w:pPr>
              <w:autoSpaceDE w:val="0"/>
              <w:autoSpaceDN w:val="0"/>
              <w:adjustRightInd w:val="0"/>
              <w:spacing w:after="0" w:line="240" w:lineRule="auto"/>
              <w:jc w:val="center"/>
              <w:rPr>
                <w:rFonts w:ascii="Calibri" w:hAnsi="Calibri" w:cs="Calibri"/>
                <w:sz w:val="20"/>
                <w:szCs w:val="20"/>
              </w:rPr>
            </w:pPr>
          </w:p>
        </w:tc>
        <w:tc>
          <w:tcPr>
            <w:tcW w:w="551" w:type="dxa"/>
          </w:tcPr>
          <w:p w:rsidR="003D47C8" w:rsidRDefault="003D47C8" w:rsidP="00683902">
            <w:pPr>
              <w:rPr>
                <w:rFonts w:ascii="Calibri" w:hAnsi="Calibri" w:cs="Calibri"/>
                <w:sz w:val="20"/>
                <w:szCs w:val="20"/>
              </w:rPr>
            </w:pPr>
          </w:p>
          <w:p w:rsidR="003D47C8" w:rsidRDefault="003D47C8" w:rsidP="00683902">
            <w:pPr>
              <w:rPr>
                <w:rFonts w:ascii="Calibri" w:hAnsi="Calibri" w:cs="Calibri"/>
                <w:sz w:val="20"/>
                <w:szCs w:val="20"/>
              </w:rPr>
            </w:pPr>
          </w:p>
          <w:p w:rsidR="003D47C8" w:rsidRDefault="003D47C8" w:rsidP="00683902">
            <w:pPr>
              <w:autoSpaceDE w:val="0"/>
              <w:autoSpaceDN w:val="0"/>
              <w:adjustRightInd w:val="0"/>
              <w:spacing w:after="0" w:line="240" w:lineRule="auto"/>
              <w:jc w:val="both"/>
              <w:rPr>
                <w:rFonts w:ascii="Calibri" w:hAnsi="Calibri" w:cs="Calibri"/>
                <w:sz w:val="20"/>
                <w:szCs w:val="20"/>
              </w:rPr>
            </w:pPr>
          </w:p>
        </w:tc>
        <w:tc>
          <w:tcPr>
            <w:tcW w:w="1906" w:type="dxa"/>
          </w:tcPr>
          <w:p w:rsidR="003D47C8" w:rsidRDefault="003D47C8" w:rsidP="00683902">
            <w:pPr>
              <w:jc w:val="center"/>
              <w:rPr>
                <w:rFonts w:ascii="Calibri" w:hAnsi="Calibri" w:cs="Calibri"/>
                <w:sz w:val="20"/>
                <w:szCs w:val="20"/>
              </w:rPr>
            </w:pPr>
            <w:r>
              <w:rPr>
                <w:rFonts w:ascii="Calibri" w:hAnsi="Calibri" w:cs="Calibri"/>
                <w:sz w:val="20"/>
                <w:szCs w:val="20"/>
              </w:rPr>
              <w:t>118.000</w:t>
            </w:r>
          </w:p>
          <w:p w:rsidR="003D47C8" w:rsidRDefault="003D47C8" w:rsidP="00683902">
            <w:pPr>
              <w:autoSpaceDE w:val="0"/>
              <w:autoSpaceDN w:val="0"/>
              <w:adjustRightInd w:val="0"/>
              <w:spacing w:after="0" w:line="240" w:lineRule="auto"/>
              <w:jc w:val="both"/>
              <w:rPr>
                <w:rFonts w:ascii="Calibri" w:hAnsi="Calibri" w:cs="Calibri"/>
                <w:sz w:val="20"/>
                <w:szCs w:val="20"/>
              </w:rPr>
            </w:pPr>
          </w:p>
        </w:tc>
        <w:tc>
          <w:tcPr>
            <w:tcW w:w="1923" w:type="dxa"/>
          </w:tcPr>
          <w:p w:rsidR="003D47C8" w:rsidRDefault="003D47C8" w:rsidP="00683902">
            <w:pPr>
              <w:rPr>
                <w:rFonts w:ascii="Calibri" w:hAnsi="Calibri" w:cs="Calibri"/>
                <w:sz w:val="20"/>
                <w:szCs w:val="20"/>
              </w:rPr>
            </w:pPr>
          </w:p>
          <w:p w:rsidR="003D47C8" w:rsidRDefault="003D47C8" w:rsidP="00683902">
            <w:pPr>
              <w:rPr>
                <w:rFonts w:ascii="Calibri" w:hAnsi="Calibri" w:cs="Calibri"/>
                <w:sz w:val="20"/>
                <w:szCs w:val="20"/>
              </w:rPr>
            </w:pPr>
          </w:p>
          <w:p w:rsidR="003D47C8" w:rsidRDefault="003D47C8" w:rsidP="00683902">
            <w:pPr>
              <w:autoSpaceDE w:val="0"/>
              <w:autoSpaceDN w:val="0"/>
              <w:adjustRightInd w:val="0"/>
              <w:spacing w:after="0" w:line="240" w:lineRule="auto"/>
              <w:jc w:val="both"/>
              <w:rPr>
                <w:rFonts w:ascii="Calibri" w:hAnsi="Calibri" w:cs="Calibri"/>
                <w:sz w:val="20"/>
                <w:szCs w:val="20"/>
              </w:rPr>
            </w:pPr>
          </w:p>
        </w:tc>
      </w:tr>
    </w:tbl>
    <w:p w:rsidR="003D47C8" w:rsidRDefault="003D47C8" w:rsidP="00CA6F77">
      <w:pPr>
        <w:autoSpaceDE w:val="0"/>
        <w:autoSpaceDN w:val="0"/>
        <w:adjustRightInd w:val="0"/>
        <w:spacing w:after="0" w:line="240" w:lineRule="auto"/>
        <w:jc w:val="both"/>
        <w:rPr>
          <w:rFonts w:ascii="ArialMT" w:hAnsi="ArialMT" w:cs="ArialMT"/>
          <w:sz w:val="18"/>
          <w:szCs w:val="18"/>
        </w:rPr>
      </w:pP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MT" w:hAnsi="ArialMT" w:cs="ArialMT"/>
          <w:sz w:val="18"/>
          <w:szCs w:val="18"/>
        </w:rPr>
        <w:t>Sin embargo, la Resolución 29/2010 incluye una importante Disposición transitoria segunda, que resulta muy útil</w:t>
      </w:r>
      <w:r w:rsidR="003D47C8">
        <w:rPr>
          <w:rFonts w:ascii="ArialMT" w:hAnsi="ArialMT" w:cs="ArialMT"/>
          <w:sz w:val="18"/>
          <w:szCs w:val="18"/>
        </w:rPr>
        <w:t xml:space="preserve"> </w:t>
      </w:r>
      <w:r>
        <w:rPr>
          <w:rFonts w:ascii="ArialMT" w:hAnsi="ArialMT" w:cs="ArialMT"/>
          <w:sz w:val="18"/>
          <w:szCs w:val="18"/>
        </w:rPr>
        <w:t>considerando la previsible necesidad de adaptar los sistemas informáticos de las empresas, para obtener la</w:t>
      </w:r>
      <w:r w:rsidR="003D47C8">
        <w:rPr>
          <w:rFonts w:ascii="ArialMT" w:hAnsi="ArialMT" w:cs="ArialMT"/>
          <w:sz w:val="18"/>
          <w:szCs w:val="18"/>
        </w:rPr>
        <w:t xml:space="preserve"> </w:t>
      </w:r>
      <w:r>
        <w:rPr>
          <w:rFonts w:ascii="ArialMT" w:hAnsi="ArialMT" w:cs="ArialMT"/>
          <w:sz w:val="18"/>
          <w:szCs w:val="18"/>
        </w:rPr>
        <w:t>información que se solicita en la nueva normativa.</w:t>
      </w:r>
    </w:p>
    <w:p w:rsidR="00CA6F77" w:rsidRDefault="00CA6F77" w:rsidP="00CA6F77">
      <w:pPr>
        <w:autoSpaceDE w:val="0"/>
        <w:autoSpaceDN w:val="0"/>
        <w:adjustRightInd w:val="0"/>
        <w:spacing w:after="0" w:line="240" w:lineRule="auto"/>
        <w:jc w:val="both"/>
        <w:rPr>
          <w:rFonts w:ascii="ArialMT" w:hAnsi="ArialMT" w:cs="ArialMT"/>
          <w:sz w:val="18"/>
          <w:szCs w:val="18"/>
        </w:rPr>
      </w:pPr>
      <w:r>
        <w:rPr>
          <w:rFonts w:ascii="ArialMT" w:hAnsi="ArialMT" w:cs="ArialMT"/>
          <w:sz w:val="18"/>
          <w:szCs w:val="18"/>
        </w:rPr>
        <w:t>Atendiendo a esta disposición, en el primer ejercicio de aplicación de esta resolución deberán suministrar</w:t>
      </w:r>
    </w:p>
    <w:p w:rsidR="00CA6F77" w:rsidRDefault="00CA6F77" w:rsidP="003D47C8">
      <w:pPr>
        <w:autoSpaceDE w:val="0"/>
        <w:autoSpaceDN w:val="0"/>
        <w:adjustRightInd w:val="0"/>
        <w:spacing w:after="0" w:line="240" w:lineRule="auto"/>
        <w:jc w:val="both"/>
        <w:rPr>
          <w:rFonts w:ascii="ArialMT" w:hAnsi="ArialMT" w:cs="ArialMT"/>
          <w:sz w:val="18"/>
          <w:szCs w:val="18"/>
        </w:rPr>
      </w:pPr>
      <w:proofErr w:type="gramStart"/>
      <w:r>
        <w:rPr>
          <w:rFonts w:ascii="ArialMT" w:hAnsi="ArialMT" w:cs="ArialMT"/>
          <w:sz w:val="18"/>
          <w:szCs w:val="18"/>
        </w:rPr>
        <w:t>exclusivamente</w:t>
      </w:r>
      <w:proofErr w:type="gramEnd"/>
      <w:r>
        <w:rPr>
          <w:rFonts w:ascii="ArialMT" w:hAnsi="ArialMT" w:cs="ArialMT"/>
          <w:sz w:val="18"/>
          <w:szCs w:val="18"/>
        </w:rPr>
        <w:t xml:space="preserve"> la información relativa al importe del saldo pendiente de pago a los proveedores, que al cierre</w:t>
      </w:r>
      <w:r w:rsidR="003D47C8">
        <w:rPr>
          <w:rFonts w:ascii="ArialMT" w:hAnsi="ArialMT" w:cs="ArialMT"/>
          <w:sz w:val="18"/>
          <w:szCs w:val="18"/>
        </w:rPr>
        <w:t xml:space="preserve"> </w:t>
      </w:r>
      <w:r>
        <w:rPr>
          <w:rFonts w:ascii="ArialMT" w:hAnsi="ArialMT" w:cs="ArialMT"/>
          <w:sz w:val="18"/>
          <w:szCs w:val="18"/>
        </w:rPr>
        <w:t>del mismo acumule un aplazamiento superior al plazo legal de pago. Adicionalmente, en las cuentas anuales de</w:t>
      </w:r>
      <w:r w:rsidR="003D47C8">
        <w:rPr>
          <w:rFonts w:ascii="ArialMT" w:hAnsi="ArialMT" w:cs="ArialMT"/>
          <w:sz w:val="18"/>
          <w:szCs w:val="18"/>
        </w:rPr>
        <w:t xml:space="preserve"> </w:t>
      </w:r>
      <w:r>
        <w:rPr>
          <w:rFonts w:ascii="ArialMT" w:hAnsi="ArialMT" w:cs="ArialMT"/>
          <w:sz w:val="18"/>
          <w:szCs w:val="18"/>
        </w:rPr>
        <w:t>este primer ejercicio no se presentará información comparativa correspondiente a esta nueva obligación,</w:t>
      </w:r>
      <w:r w:rsidR="003D47C8">
        <w:rPr>
          <w:rFonts w:ascii="ArialMT" w:hAnsi="ArialMT" w:cs="ArialMT"/>
          <w:sz w:val="18"/>
          <w:szCs w:val="18"/>
        </w:rPr>
        <w:t xml:space="preserve"> </w:t>
      </w:r>
      <w:r>
        <w:rPr>
          <w:rFonts w:ascii="ArialMT" w:hAnsi="ArialMT" w:cs="ArialMT"/>
          <w:sz w:val="18"/>
          <w:szCs w:val="18"/>
        </w:rPr>
        <w:t>calificándose las cuentas anuales como iniciales a estos exclusivos efectos en lo que se refiere a la aplicación</w:t>
      </w:r>
      <w:r w:rsidR="003D47C8">
        <w:rPr>
          <w:rFonts w:ascii="ArialMT" w:hAnsi="ArialMT" w:cs="ArialMT"/>
          <w:sz w:val="18"/>
          <w:szCs w:val="18"/>
        </w:rPr>
        <w:t xml:space="preserve"> </w:t>
      </w:r>
      <w:r>
        <w:rPr>
          <w:rFonts w:ascii="ArialMT" w:hAnsi="ArialMT" w:cs="ArialMT"/>
          <w:sz w:val="18"/>
          <w:szCs w:val="18"/>
        </w:rPr>
        <w:t xml:space="preserve">de principio de uniformidad y del requisito de </w:t>
      </w:r>
      <w:proofErr w:type="spellStart"/>
      <w:r>
        <w:rPr>
          <w:rFonts w:ascii="ArialMT" w:hAnsi="ArialMT" w:cs="ArialMT"/>
          <w:sz w:val="18"/>
          <w:szCs w:val="18"/>
        </w:rPr>
        <w:t>comparabilidad</w:t>
      </w:r>
      <w:proofErr w:type="spellEnd"/>
      <w:r>
        <w:rPr>
          <w:rFonts w:ascii="ArialMT" w:hAnsi="ArialMT" w:cs="ArialMT"/>
          <w:sz w:val="18"/>
          <w:szCs w:val="18"/>
        </w:rPr>
        <w:t>.</w:t>
      </w:r>
    </w:p>
    <w:sectPr w:rsidR="00CA6F77" w:rsidSect="00E418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59omrdlftmxnvhq">
    <w:panose1 w:val="00000000000000000000"/>
    <w:charset w:val="00"/>
    <w:family w:val="auto"/>
    <w:notTrueType/>
    <w:pitch w:val="default"/>
    <w:sig w:usb0="00000003" w:usb1="00000000" w:usb2="00000000" w:usb3="00000000" w:csb0="00000001" w:csb1="00000000"/>
  </w:font>
  <w:font w:name="52mxkjgvhfdzgca,Bold">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08"/>
  <w:hyphenationZone w:val="425"/>
  <w:characterSpacingControl w:val="doNotCompress"/>
  <w:compat/>
  <w:rsids>
    <w:rsidRoot w:val="00CA6F77"/>
    <w:rsid w:val="003D47C8"/>
    <w:rsid w:val="003E7297"/>
    <w:rsid w:val="00582C24"/>
    <w:rsid w:val="0097211A"/>
    <w:rsid w:val="00981190"/>
    <w:rsid w:val="00CA6F77"/>
    <w:rsid w:val="00D1448C"/>
    <w:rsid w:val="00D27C8E"/>
    <w:rsid w:val="00D77C85"/>
    <w:rsid w:val="00E418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1448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3CB6F-7782-465C-B026-C875FF86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1659</Words>
  <Characters>9126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2011-09-12T07:10:00Z</cp:lastPrinted>
  <dcterms:created xsi:type="dcterms:W3CDTF">2011-09-12T06:34:00Z</dcterms:created>
  <dcterms:modified xsi:type="dcterms:W3CDTF">2011-09-12T07:13:00Z</dcterms:modified>
</cp:coreProperties>
</file>