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mzcbdszb0h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Operadores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8ilwn9ir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Operadores Aritméticos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 -exponenciação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 -resto da divisão inteira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++ -incremento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-decremento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rppoiuy2m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Operador de concatenação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m5jnh67a2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Operador de atribuição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grw3dlhji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Operadores de atribuição e aritméticos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+= forma abreviada de somar e atribuir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x=x+10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x+=10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%=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g4el1m5tg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Operadores relacionais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 maior que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 menor que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&gt;= maior ou igual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&lt;= menor ou igual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!= diferente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 igual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comparam números e o resultado é um valor booleano Operandos são numeros e o resultado é booleano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 &gt;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3+5 == 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06he1pcq9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Operadores Lógicos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|| - ou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&amp;&amp; - 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! - não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operandos são valores booleanos e o resultado também é valor booleano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