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AE" w:rsidRPr="006D0E25" w:rsidRDefault="005215AE" w:rsidP="005215AE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215AE" w:rsidRPr="006D0E25" w:rsidRDefault="005215AE" w:rsidP="005215AE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5215AE" w:rsidRPr="00166E68" w:rsidRDefault="005215AE" w:rsidP="005215A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E68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166E68">
        <w:rPr>
          <w:rFonts w:ascii="Arial" w:hAnsi="Arial" w:cs="Arial"/>
          <w:sz w:val="24"/>
          <w:szCs w:val="24"/>
        </w:rPr>
        <w:t>Tarik</w:t>
      </w:r>
      <w:proofErr w:type="spellEnd"/>
      <w:r w:rsidRPr="00166E68">
        <w:rPr>
          <w:rFonts w:ascii="Arial" w:hAnsi="Arial" w:cs="Arial"/>
          <w:sz w:val="24"/>
          <w:szCs w:val="24"/>
        </w:rPr>
        <w:t xml:space="preserve"> Data: </w:t>
      </w:r>
      <w:r w:rsidRPr="00166E68">
        <w:rPr>
          <w:rFonts w:ascii="Arial" w:hAnsi="Arial" w:cs="Arial"/>
          <w:sz w:val="24"/>
          <w:szCs w:val="24"/>
          <w:u w:val="single"/>
        </w:rPr>
        <w:t>02/02/15</w:t>
      </w:r>
      <w:r w:rsidRPr="00166E68">
        <w:rPr>
          <w:rFonts w:ascii="Arial" w:hAnsi="Arial" w:cs="Arial"/>
          <w:sz w:val="24"/>
          <w:szCs w:val="24"/>
        </w:rPr>
        <w:t xml:space="preserve"> </w:t>
      </w:r>
    </w:p>
    <w:p w:rsidR="005215AE" w:rsidRPr="006D0E25" w:rsidRDefault="005215AE" w:rsidP="005215A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5215AE" w:rsidRPr="006D0E25" w:rsidRDefault="005215AE" w:rsidP="005215A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4)</w:t>
      </w:r>
    </w:p>
    <w:p w:rsidR="005215AE" w:rsidRPr="006D0E25" w:rsidRDefault="005215AE" w:rsidP="005215A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2174"/>
        <w:gridCol w:w="5777"/>
      </w:tblGrid>
      <w:tr w:rsidR="005215AE" w:rsidRPr="006D0E25" w:rsidTr="009552CC">
        <w:tc>
          <w:tcPr>
            <w:tcW w:w="93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6D0E25" w:rsidRDefault="005215AE" w:rsidP="009552C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5215AE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6D0E25" w:rsidRDefault="005215AE" w:rsidP="009552C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6D0E25" w:rsidRDefault="005215AE" w:rsidP="009552C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6D0E25" w:rsidRDefault="005215AE" w:rsidP="009552C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215AE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5215AE" w:rsidRDefault="005215AE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5215AE" w:rsidRDefault="005215AE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Inaptidão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Pr="005215AE" w:rsidRDefault="005215AE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tabela esta sem um ID ou código na faixa superior.</w:t>
            </w:r>
          </w:p>
        </w:tc>
      </w:tr>
      <w:tr w:rsidR="005215AE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Default="005215AE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 de sangue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15AE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tabela esta sem um ID ou código na faixa superior.</w:t>
            </w:r>
          </w:p>
        </w:tc>
      </w:tr>
      <w:tr w:rsidR="00CD7B23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Inaptidão e exame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faltando a cardinalidade do lado da tabela inaptidão.</w:t>
            </w:r>
          </w:p>
        </w:tc>
      </w:tr>
      <w:tr w:rsidR="00CD7B23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Doação e exame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faltando a cardinalidade do lado da tabela exame.</w:t>
            </w:r>
          </w:p>
        </w:tc>
      </w:tr>
      <w:tr w:rsidR="00CD7B23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Inaptidão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Inaptidão não deve conter 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idExame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7B23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CD7B23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400875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Exame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7B23" w:rsidRDefault="00400875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Exame </w:t>
            </w:r>
            <w:r w:rsidR="00113021">
              <w:rPr>
                <w:rFonts w:ascii="Arial" w:hAnsi="Arial" w:cs="Arial"/>
                <w:sz w:val="24"/>
                <w:szCs w:val="24"/>
              </w:rPr>
              <w:t xml:space="preserve">deve conter o </w:t>
            </w:r>
            <w:proofErr w:type="spellStart"/>
            <w:proofErr w:type="gramStart"/>
            <w:r w:rsidR="00113021">
              <w:rPr>
                <w:rFonts w:ascii="Arial" w:hAnsi="Arial" w:cs="Arial"/>
                <w:sz w:val="24"/>
                <w:szCs w:val="24"/>
              </w:rPr>
              <w:t>cod</w:t>
            </w:r>
            <w:r>
              <w:rPr>
                <w:rFonts w:ascii="Arial" w:hAnsi="Arial" w:cs="Arial"/>
                <w:sz w:val="24"/>
                <w:szCs w:val="24"/>
              </w:rPr>
              <w:t>Inaptidão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0875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00875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00875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00875" w:rsidP="001130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 não deve</w:t>
            </w:r>
            <w:r w:rsidR="00113021">
              <w:rPr>
                <w:rFonts w:ascii="Arial" w:hAnsi="Arial" w:cs="Arial"/>
                <w:sz w:val="24"/>
                <w:szCs w:val="24"/>
              </w:rPr>
              <w:t xml:space="preserve"> conter </w:t>
            </w:r>
            <w:proofErr w:type="spellStart"/>
            <w:proofErr w:type="gramStart"/>
            <w:r w:rsidR="00113021">
              <w:rPr>
                <w:rFonts w:ascii="Arial" w:hAnsi="Arial" w:cs="Arial"/>
                <w:sz w:val="24"/>
                <w:szCs w:val="24"/>
              </w:rPr>
              <w:t>codInaptidãoDefinitivo</w:t>
            </w:r>
            <w:proofErr w:type="spellEnd"/>
            <w:proofErr w:type="gramEnd"/>
            <w:r w:rsidR="0011302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codInaptidão</w:t>
            </w:r>
            <w:r w:rsidR="00113021">
              <w:rPr>
                <w:rFonts w:ascii="Arial" w:hAnsi="Arial" w:cs="Arial"/>
                <w:sz w:val="24"/>
                <w:szCs w:val="24"/>
              </w:rPr>
              <w:t>Temporario</w:t>
            </w:r>
            <w:proofErr w:type="spellEnd"/>
            <w:r w:rsidR="00113021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113021">
              <w:rPr>
                <w:rFonts w:ascii="Arial" w:hAnsi="Arial" w:cs="Arial"/>
                <w:sz w:val="24"/>
                <w:szCs w:val="24"/>
              </w:rPr>
              <w:t>periodoInaptidão</w:t>
            </w:r>
            <w:proofErr w:type="spellEnd"/>
            <w:r w:rsidR="00113021">
              <w:rPr>
                <w:rFonts w:ascii="Arial" w:hAnsi="Arial" w:cs="Arial"/>
                <w:sz w:val="24"/>
                <w:szCs w:val="24"/>
              </w:rPr>
              <w:t xml:space="preserve">, pois essas informações são recuperáveis da própria tabela inaptidão usando apenas o </w:t>
            </w:r>
            <w:proofErr w:type="spellStart"/>
            <w:r w:rsidR="00113021">
              <w:rPr>
                <w:rFonts w:ascii="Arial" w:hAnsi="Arial" w:cs="Arial"/>
                <w:sz w:val="24"/>
                <w:szCs w:val="24"/>
              </w:rPr>
              <w:t>codInaptidão</w:t>
            </w:r>
            <w:proofErr w:type="spellEnd"/>
            <w:r w:rsidR="001130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0875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00875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Doação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00875" w:rsidRDefault="0047189F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Doação não deve conter responsável, pois essa informação é recuperável pelo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7189F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Doação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Faltou o atributo data da doação.</w:t>
            </w:r>
          </w:p>
        </w:tc>
      </w:tr>
      <w:tr w:rsidR="0047189F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Doação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atributo “nome” esta vago, é nome de quem? Do que? É nome da doação?</w:t>
            </w:r>
          </w:p>
        </w:tc>
      </w:tr>
      <w:tr w:rsidR="0047189F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existe o atributo nacionalidade e nem o tel.</w:t>
            </w:r>
          </w:p>
        </w:tc>
      </w:tr>
      <w:tr w:rsidR="0047189F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47189F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Faltou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os atributos naturalidade, UF da naturalidade e data.</w:t>
            </w:r>
          </w:p>
        </w:tc>
      </w:tr>
      <w:tr w:rsidR="0047189F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3A33EC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3A33EC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 de sangue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7189F" w:rsidRDefault="00166E68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 de sangue não deve conter 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quemARetirou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”, pois essa informação é recuperada pelo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6E68" w:rsidRPr="006D0E25" w:rsidTr="005215AE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6E68" w:rsidRDefault="00166E68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6E68" w:rsidRDefault="00166E68" w:rsidP="009552C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 de sangue e doação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6E68" w:rsidRDefault="00166E68" w:rsidP="00CD7B2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Faltou a cardinalidade entre essas duas tabelas, pois a bolsa de sangue vem da doação que foi realizada.</w:t>
            </w:r>
          </w:p>
        </w:tc>
      </w:tr>
    </w:tbl>
    <w:p w:rsidR="005F174D" w:rsidRDefault="00166E68">
      <w:bookmarkStart w:id="0" w:name="_GoBack"/>
      <w:bookmarkEnd w:id="0"/>
    </w:p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AE"/>
    <w:rsid w:val="00113021"/>
    <w:rsid w:val="00166E68"/>
    <w:rsid w:val="003A33EC"/>
    <w:rsid w:val="00400875"/>
    <w:rsid w:val="0047189F"/>
    <w:rsid w:val="005215AE"/>
    <w:rsid w:val="006C7788"/>
    <w:rsid w:val="00CD7B23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AE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AE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2015-03-02T04:25:00Z</dcterms:created>
  <dcterms:modified xsi:type="dcterms:W3CDTF">2015-03-02T05:47:00Z</dcterms:modified>
</cp:coreProperties>
</file>