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8C4EA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48" w:line="240" w:lineRule="auto"/>
        <w:outlineLvl w:val="1"/>
        <w:rPr>
          <w:rFonts w:ascii="Arial" w:eastAsia="Times New Roman" w:hAnsi="Arial" w:cs="Arial"/>
          <w:b/>
          <w:bCs/>
          <w:color w:val="6D50B9"/>
          <w:sz w:val="29"/>
          <w:szCs w:val="29"/>
          <w:lang w:eastAsia="pt-BR"/>
        </w:rPr>
      </w:pPr>
      <w:r w:rsidRPr="0049734E">
        <w:rPr>
          <w:rFonts w:ascii="Arial" w:eastAsia="Times New Roman" w:hAnsi="Arial" w:cs="Arial"/>
          <w:b/>
          <w:bCs/>
          <w:color w:val="6D50B9"/>
          <w:sz w:val="29"/>
          <w:szCs w:val="29"/>
          <w:lang w:eastAsia="pt-BR"/>
        </w:rPr>
        <w:t xml:space="preserve">Dossiê Estratégico de Oportunidade: </w:t>
      </w:r>
      <w:proofErr w:type="spellStart"/>
      <w:r w:rsidRPr="0049734E">
        <w:rPr>
          <w:rFonts w:ascii="Arial" w:eastAsia="Times New Roman" w:hAnsi="Arial" w:cs="Arial"/>
          <w:b/>
          <w:bCs/>
          <w:color w:val="6D50B9"/>
          <w:sz w:val="29"/>
          <w:szCs w:val="29"/>
          <w:lang w:eastAsia="pt-BR"/>
        </w:rPr>
        <w:t>Enova</w:t>
      </w:r>
      <w:proofErr w:type="spellEnd"/>
      <w:r w:rsidRPr="0049734E">
        <w:rPr>
          <w:rFonts w:ascii="Arial" w:eastAsia="Times New Roman" w:hAnsi="Arial" w:cs="Arial"/>
          <w:b/>
          <w:bCs/>
          <w:color w:val="6D50B9"/>
          <w:sz w:val="29"/>
          <w:szCs w:val="29"/>
          <w:lang w:eastAsia="pt-BR"/>
        </w:rPr>
        <w:t xml:space="preserve"> </w:t>
      </w:r>
      <w:proofErr w:type="spellStart"/>
      <w:r w:rsidRPr="0049734E">
        <w:rPr>
          <w:rFonts w:ascii="Arial" w:eastAsia="Times New Roman" w:hAnsi="Arial" w:cs="Arial"/>
          <w:b/>
          <w:bCs/>
          <w:color w:val="6D50B9"/>
          <w:sz w:val="29"/>
          <w:szCs w:val="29"/>
          <w:lang w:eastAsia="pt-BR"/>
        </w:rPr>
        <w:t>Foods</w:t>
      </w:r>
      <w:proofErr w:type="spellEnd"/>
    </w:p>
    <w:p w14:paraId="43173194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" w:line="240" w:lineRule="auto"/>
        <w:outlineLvl w:val="2"/>
        <w:rPr>
          <w:rFonts w:ascii="Arial" w:eastAsia="Times New Roman" w:hAnsi="Arial" w:cs="Arial"/>
          <w:color w:val="6D50B9"/>
          <w:sz w:val="26"/>
          <w:szCs w:val="26"/>
          <w:lang w:eastAsia="pt-BR"/>
        </w:rPr>
      </w:pPr>
      <w:r w:rsidRPr="0049734E">
        <w:rPr>
          <w:rFonts w:ascii="Arial" w:eastAsia="Times New Roman" w:hAnsi="Arial" w:cs="Arial"/>
          <w:color w:val="6D50B9"/>
          <w:sz w:val="26"/>
          <w:szCs w:val="26"/>
          <w:lang w:eastAsia="pt-BR"/>
        </w:rPr>
        <w:t>1. Perfil do Lead</w:t>
      </w:r>
    </w:p>
    <w:p w14:paraId="6BD5DC3F" w14:textId="77777777" w:rsidR="0049734E" w:rsidRPr="0049734E" w:rsidRDefault="0049734E" w:rsidP="0049734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C0C0C"/>
          <w:sz w:val="27"/>
          <w:szCs w:val="27"/>
          <w:lang w:eastAsia="pt-BR"/>
        </w:rPr>
      </w:pPr>
      <w:r w:rsidRPr="0049734E">
        <w:rPr>
          <w:rFonts w:ascii="Arial" w:eastAsia="Times New Roman" w:hAnsi="Arial" w:cs="Arial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Nome do Lead:</w:t>
      </w:r>
      <w:r w:rsidRPr="0049734E">
        <w:rPr>
          <w:rFonts w:ascii="Arial" w:eastAsia="Times New Roman" w:hAnsi="Arial" w:cs="Arial"/>
          <w:color w:val="0C0C0C"/>
          <w:sz w:val="27"/>
          <w:szCs w:val="27"/>
          <w:lang w:eastAsia="pt-BR"/>
        </w:rPr>
        <w:t> </w:t>
      </w:r>
      <w:proofErr w:type="spellStart"/>
      <w:r w:rsidRPr="0049734E">
        <w:rPr>
          <w:rFonts w:ascii="Arial" w:eastAsia="Times New Roman" w:hAnsi="Arial" w:cs="Arial"/>
          <w:color w:val="0C0C0C"/>
          <w:sz w:val="27"/>
          <w:szCs w:val="27"/>
          <w:lang w:eastAsia="pt-BR"/>
        </w:rPr>
        <w:t>Enova</w:t>
      </w:r>
      <w:proofErr w:type="spellEnd"/>
      <w:r w:rsidRPr="0049734E">
        <w:rPr>
          <w:rFonts w:ascii="Arial" w:eastAsia="Times New Roman" w:hAnsi="Arial" w:cs="Arial"/>
          <w:color w:val="0C0C0C"/>
          <w:sz w:val="27"/>
          <w:szCs w:val="27"/>
          <w:lang w:eastAsia="pt-BR"/>
        </w:rPr>
        <w:t xml:space="preserve"> </w:t>
      </w:r>
      <w:proofErr w:type="spellStart"/>
      <w:r w:rsidRPr="0049734E">
        <w:rPr>
          <w:rFonts w:ascii="Arial" w:eastAsia="Times New Roman" w:hAnsi="Arial" w:cs="Arial"/>
          <w:color w:val="0C0C0C"/>
          <w:sz w:val="27"/>
          <w:szCs w:val="27"/>
          <w:lang w:eastAsia="pt-BR"/>
        </w:rPr>
        <w:t>Foods</w:t>
      </w:r>
      <w:proofErr w:type="spellEnd"/>
    </w:p>
    <w:p w14:paraId="066F42CB" w14:textId="77777777" w:rsidR="0049734E" w:rsidRPr="0049734E" w:rsidRDefault="0049734E" w:rsidP="0049734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C0C0C"/>
          <w:sz w:val="27"/>
          <w:szCs w:val="27"/>
          <w:lang w:eastAsia="pt-BR"/>
        </w:rPr>
      </w:pPr>
      <w:r w:rsidRPr="0049734E">
        <w:rPr>
          <w:rFonts w:ascii="Arial" w:eastAsia="Times New Roman" w:hAnsi="Arial" w:cs="Arial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Parceiro:</w:t>
      </w:r>
      <w:r w:rsidRPr="0049734E">
        <w:rPr>
          <w:rFonts w:ascii="Arial" w:eastAsia="Times New Roman" w:hAnsi="Arial" w:cs="Arial"/>
          <w:color w:val="0C0C0C"/>
          <w:sz w:val="27"/>
          <w:szCs w:val="27"/>
          <w:lang w:eastAsia="pt-BR"/>
        </w:rPr>
        <w:t> A ser confirmado internamente</w:t>
      </w:r>
    </w:p>
    <w:p w14:paraId="75621A6B" w14:textId="77777777" w:rsidR="0049734E" w:rsidRPr="0049734E" w:rsidRDefault="0049734E" w:rsidP="0049734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C0C0C"/>
          <w:sz w:val="27"/>
          <w:szCs w:val="27"/>
          <w:lang w:eastAsia="pt-BR"/>
        </w:rPr>
      </w:pPr>
      <w:r w:rsidRPr="0049734E">
        <w:rPr>
          <w:rFonts w:ascii="Arial" w:eastAsia="Times New Roman" w:hAnsi="Arial" w:cs="Arial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Contato:</w:t>
      </w:r>
      <w:r w:rsidRPr="0049734E">
        <w:rPr>
          <w:rFonts w:ascii="Arial" w:eastAsia="Times New Roman" w:hAnsi="Arial" w:cs="Arial"/>
          <w:color w:val="0C0C0C"/>
          <w:sz w:val="27"/>
          <w:szCs w:val="27"/>
          <w:lang w:eastAsia="pt-BR"/>
        </w:rPr>
        <w:t> A ser confirmado internamente</w:t>
      </w:r>
    </w:p>
    <w:p w14:paraId="4F9C6F4F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" w:line="240" w:lineRule="auto"/>
        <w:outlineLvl w:val="2"/>
        <w:rPr>
          <w:rFonts w:ascii="Arial" w:eastAsia="Times New Roman" w:hAnsi="Arial" w:cs="Arial"/>
          <w:color w:val="6D50B9"/>
          <w:sz w:val="26"/>
          <w:szCs w:val="26"/>
          <w:lang w:eastAsia="pt-BR"/>
        </w:rPr>
      </w:pPr>
      <w:r w:rsidRPr="0049734E">
        <w:rPr>
          <w:rFonts w:ascii="Arial" w:eastAsia="Times New Roman" w:hAnsi="Arial" w:cs="Arial"/>
          <w:color w:val="6D50B9"/>
          <w:sz w:val="26"/>
          <w:szCs w:val="26"/>
          <w:lang w:eastAsia="pt-BR"/>
        </w:rPr>
        <w:t>2. Análise do Negócio</w:t>
      </w:r>
    </w:p>
    <w:p w14:paraId="3F670E07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A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Enova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Foods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é uma indústria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multi-marca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de alimentos e bebidas com distribuição em todo o Brasil e mercados internacionais. Atua em diversos segmentos, incluindo bebidas em pó, amendoins,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snacks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de castanhas, e uma linha abrangente de bem-estar que oferece lanches saudáveis, produtos sem glúten e sem lactose, ingredientes, além de produtos dietéticos como </w:t>
      </w:r>
      <w:proofErr w:type="gram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adoçantes</w:t>
      </w:r>
      <w:proofErr w:type="gram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líquidos e em pó, adoçantes para forno e fogão, e bebidas de chocolate diet. Sua operação de fabricação envolve a gestão de uma vasta gama de matérias-primas e insumos para a produção de alimentos e bebidas, com um forte controle sobre as especificações dos produtos e a necessidade de flexibilidade na gestão de materiais.</w:t>
      </w:r>
    </w:p>
    <w:p w14:paraId="6F9204B2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" w:line="240" w:lineRule="auto"/>
        <w:outlineLvl w:val="2"/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</w:pPr>
      <w:r w:rsidRPr="0049734E"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  <w:t>3. Contexto e Dores Iniciais</w:t>
      </w:r>
    </w:p>
    <w:p w14:paraId="4FCB1EEB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A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Enova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Foods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busca aprimorar a implantação do MRP para materiais diretos, enfrentando os seguintes desafios:</w:t>
      </w:r>
    </w:p>
    <w:p w14:paraId="3E6DF9C2" w14:textId="77777777" w:rsidR="0049734E" w:rsidRPr="0049734E" w:rsidRDefault="0049734E" w:rsidP="0049734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Reprogramação Ineficiente: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 Dificuldade em obter recomendações claras de antecipação ou postergação de compras. O sistema atual recomenda novas compras mesmo com pedidos futuros existentes, prejudicando a visão de longo prazo e a complexidade da análise de estoque ideal e valorização.</w:t>
      </w:r>
    </w:p>
    <w:p w14:paraId="1C135FE5" w14:textId="77777777" w:rsidR="0049734E" w:rsidRPr="0049734E" w:rsidRDefault="0049734E" w:rsidP="0049734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Gestão de Itens Alternativos: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 Grande recorrência na troca de itens, mas o MRP atual só reconhece o que está na estrutura principal. Soluções propostas, como "fórmulas filho" (duplicar estruturas), são complexas e propensas a erros. Há um desejo de unificar itens padrões e alternativos para uma visão agrupada de estoque e compras, com um campo para direcionar a recomendação de compra para o item atual ou alternativo.</w:t>
      </w:r>
    </w:p>
    <w:p w14:paraId="2E52948E" w14:textId="77777777" w:rsidR="0049734E" w:rsidRPr="0049734E" w:rsidRDefault="0049734E" w:rsidP="0049734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Limitação na Recomendação de Compra: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 Necessidade de que a recomendação de compra já considere conjugações e fracionamentos automaticamente no cadastro, ou a capacidade de incluir linhas manualmente na recomendação.</w:t>
      </w:r>
    </w:p>
    <w:p w14:paraId="3119E68D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" w:line="240" w:lineRule="auto"/>
        <w:outlineLvl w:val="2"/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</w:pPr>
      <w:r w:rsidRPr="0049734E"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  <w:t>4. Análise de Expectativas e Fator "UAU!"</w:t>
      </w:r>
    </w:p>
    <w:p w14:paraId="49AE7654" w14:textId="77777777" w:rsidR="0049734E" w:rsidRPr="0049734E" w:rsidRDefault="0049734E" w:rsidP="0049734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O Que o Lead Espera Ver: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 O lead espera ver uma solução de MRP que ofereça recomendações de reprogramação inteligentes (antecipação/postergação), que permita a gestão unificada e flexível de 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lastRenderedPageBreak/>
        <w:t>itens alternativos sem a necessidade de duplicação de estruturas, e que otimize o processo de recomendação de compra, incluindo conjugações e fracionamentos.</w:t>
      </w:r>
    </w:p>
    <w:p w14:paraId="44FE5CD1" w14:textId="77777777" w:rsidR="0049734E" w:rsidRPr="0049734E" w:rsidRDefault="0049734E" w:rsidP="0049734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Fator "UAU!" Sugerido: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 Além de demonstrar a capacidade do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de gerenciar itens alternativos via </w:t>
      </w:r>
      <w:r w:rsidRPr="0049734E">
        <w:rPr>
          <w:rFonts w:ascii="Inter" w:eastAsia="Times New Roman" w:hAnsi="Inter" w:cs="Times New Roman"/>
          <w:i/>
          <w:iCs/>
          <w:color w:val="0C0C0C"/>
          <w:sz w:val="27"/>
          <w:szCs w:val="27"/>
          <w:bdr w:val="single" w:sz="2" w:space="0" w:color="auto" w:frame="1"/>
          <w:lang w:eastAsia="pt-BR"/>
        </w:rPr>
        <w:t>Engenharia (Múltiplas Listas de Materiais)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 de forma integrada ao MRP, podemos ir além. Sugerimos mostrar como 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pode auxiliar na </w:t>
      </w:r>
      <w:r w:rsidRPr="0049734E">
        <w:rPr>
          <w:rFonts w:ascii="Inter" w:eastAsia="Times New Roman" w:hAnsi="Inter" w:cs="Times New Roman"/>
          <w:i/>
          <w:iCs/>
          <w:color w:val="0C0C0C"/>
          <w:sz w:val="27"/>
          <w:szCs w:val="27"/>
          <w:bdr w:val="single" w:sz="2" w:space="0" w:color="auto" w:frame="1"/>
          <w:lang w:eastAsia="pt-BR"/>
        </w:rPr>
        <w:t>simulação de cenários de compra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 ou na </w:t>
      </w:r>
      <w:r w:rsidRPr="0049734E">
        <w:rPr>
          <w:rFonts w:ascii="Inter" w:eastAsia="Times New Roman" w:hAnsi="Inter" w:cs="Times New Roman"/>
          <w:i/>
          <w:iCs/>
          <w:color w:val="0C0C0C"/>
          <w:sz w:val="27"/>
          <w:szCs w:val="27"/>
          <w:bdr w:val="single" w:sz="2" w:space="0" w:color="auto" w:frame="1"/>
          <w:lang w:eastAsia="pt-BR"/>
        </w:rPr>
        <w:t>visualização da curva ABC de consumo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 dos itens, destacando a capacidade de prever impactos de mudanças de fornecedores ou de uso de alternativos no custo e no estoque, oferecendo uma visibilidade financeira e estratégica que talvez eles não associem diretamente à melhoria do MRP. Adicionalmente, ressaltar a </w:t>
      </w: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rastreabilidade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 de lotes para matérias-primas alternativas, um ponto crítico para a indústria alimentícia.</w:t>
      </w:r>
    </w:p>
    <w:p w14:paraId="6D3B91C5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" w:line="240" w:lineRule="auto"/>
        <w:outlineLvl w:val="2"/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</w:pPr>
      <w:r w:rsidRPr="0049734E"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  <w:t>5. Proposta de Estratégia para Demonstração</w:t>
      </w:r>
    </w:p>
    <w:p w14:paraId="21541639" w14:textId="77777777" w:rsidR="0049734E" w:rsidRPr="0049734E" w:rsidRDefault="0049734E" w:rsidP="0049734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Gancho Principal Sugerido: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 "Simplificando a Gestão da Produção e Compras na Indústria Alimentícia: Otimização do MRP e Flexibilidade com Itens Alternativos no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."</w:t>
      </w:r>
    </w:p>
    <w:p w14:paraId="31E552AA" w14:textId="77777777" w:rsidR="0049734E" w:rsidRPr="0049734E" w:rsidRDefault="0049734E" w:rsidP="0049734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Foco da Demo:</w:t>
      </w:r>
    </w:p>
    <w:p w14:paraId="45A101F3" w14:textId="77777777" w:rsidR="0049734E" w:rsidRPr="0049734E" w:rsidRDefault="0049734E" w:rsidP="0049734E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ind w:left="720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Módulo de MRP: Demonstrar as funcionalidades de reprogramação (antecipação/postergação) e a geração de ordens/solicitações de compra com base em múltiplos parâmetros.</w:t>
      </w:r>
    </w:p>
    <w:p w14:paraId="4CD497FA" w14:textId="77777777" w:rsidR="0049734E" w:rsidRPr="0049734E" w:rsidRDefault="0049734E" w:rsidP="0049734E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ind w:left="720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Módulo de Engenharia: Explicar e mostrar como 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gerencia múltiplas listas de materiais (M-BOM) ou substituições de itens, eliminando a necessidade de duplicar estruturas para itens alternativos.</w:t>
      </w:r>
    </w:p>
    <w:p w14:paraId="12D71D5A" w14:textId="77777777" w:rsidR="0049734E" w:rsidRPr="0049734E" w:rsidRDefault="0049734E" w:rsidP="0049734E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ind w:left="720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Módulo de Compras: Apresentar a capacidade de lidar com conjugações e fracionamentos nas recomendações de compra, e a flexibilidade para ajustar as sugestões.</w:t>
      </w:r>
    </w:p>
    <w:p w14:paraId="618DBCC4" w14:textId="77777777" w:rsidR="0049734E" w:rsidRPr="0049734E" w:rsidRDefault="0049734E" w:rsidP="0049734E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ind w:left="720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Módulo de Qualidade (brevemente): Conectar a gestão de itens alternativos com a rastreabilidade da qualidade dos insumos.</w:t>
      </w:r>
    </w:p>
    <w:p w14:paraId="158F9874" w14:textId="77777777" w:rsidR="0049734E" w:rsidRPr="0049734E" w:rsidRDefault="0049734E" w:rsidP="0049734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Ponto de Validação: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 "Com as funcionalidades de MRP inteligente e gestão unificada de itens alternativos que 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oferece, vocês conseguiriam eliminar os gargalos atuais na programação de compras e otimizar significativamente a visibilidade e o controle de estoque de materiais diretos?"</w:t>
      </w:r>
    </w:p>
    <w:p w14:paraId="40D8472C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" w:line="240" w:lineRule="auto"/>
        <w:outlineLvl w:val="2"/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</w:pPr>
      <w:r w:rsidRPr="0049734E"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  <w:t>6. Exemplo de Estrutura de Produto (Simulação)</w:t>
      </w:r>
    </w:p>
    <w:p w14:paraId="442F4331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Produto Acabado (Exemplo Real do Site):</w:t>
      </w: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 Amendoim Torrado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Agtal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(Salgado)</w:t>
      </w:r>
    </w:p>
    <w:p w14:paraId="64319154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 xml:space="preserve">Processos Produtivos (BOP - Bill </w:t>
      </w:r>
      <w:proofErr w:type="spellStart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of</w:t>
      </w:r>
      <w:proofErr w:type="spellEnd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 xml:space="preserve"> Processes):</w:t>
      </w:r>
    </w:p>
    <w:p w14:paraId="5CA13E3F" w14:textId="77777777" w:rsidR="0049734E" w:rsidRPr="0049734E" w:rsidRDefault="0049734E" w:rsidP="0049734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lastRenderedPageBreak/>
        <w:t>FP-01: Recebimento e Inspeção da Matéria-Prima (Amendoim Cru)</w:t>
      </w:r>
    </w:p>
    <w:p w14:paraId="30DDE4F5" w14:textId="77777777" w:rsidR="0049734E" w:rsidRPr="0049734E" w:rsidRDefault="0049734E" w:rsidP="0049734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FP-02: Torrefação do Amendoim</w:t>
      </w:r>
    </w:p>
    <w:p w14:paraId="4BA55E53" w14:textId="77777777" w:rsidR="0049734E" w:rsidRPr="0049734E" w:rsidRDefault="0049734E" w:rsidP="0049734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FP-03: Resfriamento e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Descorticulamento</w:t>
      </w:r>
      <w:proofErr w:type="spellEnd"/>
    </w:p>
    <w:p w14:paraId="22206F65" w14:textId="77777777" w:rsidR="0049734E" w:rsidRPr="0049734E" w:rsidRDefault="0049734E" w:rsidP="0049734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FP-04: Salga e Aromatização</w:t>
      </w:r>
    </w:p>
    <w:p w14:paraId="515E35FB" w14:textId="77777777" w:rsidR="0049734E" w:rsidRPr="0049734E" w:rsidRDefault="0049734E" w:rsidP="0049734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FP-05: Embalagem Primária (Saco Plástico)</w:t>
      </w:r>
    </w:p>
    <w:p w14:paraId="2649B22E" w14:textId="77777777" w:rsidR="0049734E" w:rsidRPr="0049734E" w:rsidRDefault="0049734E" w:rsidP="0049734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FP-06: Embalagem Secundária (Caixa de Papelão)</w:t>
      </w:r>
    </w:p>
    <w:p w14:paraId="744559F0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 xml:space="preserve">Lista de Materiais (BOM - Bill </w:t>
      </w:r>
      <w:proofErr w:type="spellStart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of</w:t>
      </w:r>
      <w:proofErr w:type="spellEnd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 xml:space="preserve"> </w:t>
      </w:r>
      <w:proofErr w:type="spellStart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Materials</w:t>
      </w:r>
      <w:proofErr w:type="spellEnd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):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71"/>
        <w:gridCol w:w="1396"/>
        <w:gridCol w:w="1006"/>
        <w:gridCol w:w="1505"/>
      </w:tblGrid>
      <w:tr w:rsidR="0049734E" w:rsidRPr="0049734E" w14:paraId="5EA04743" w14:textId="77777777" w:rsidTr="0049734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98341D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1413FB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4F36B0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F1C1BF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  <w:t>Unidade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A2A4FD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b/>
                <w:bCs/>
                <w:color w:val="0C0C0C"/>
                <w:sz w:val="27"/>
                <w:szCs w:val="27"/>
                <w:lang w:eastAsia="pt-BR"/>
              </w:rPr>
              <w:t>Tipo</w:t>
            </w:r>
          </w:p>
        </w:tc>
      </w:tr>
      <w:tr w:rsidR="0049734E" w:rsidRPr="0049734E" w14:paraId="01B557E4" w14:textId="77777777" w:rsidTr="0049734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DACEE0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MP-010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3F32AD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Amendoim Cru (Variedade 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8805BD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1.10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511D46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KG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DCB269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Matéria-Prima</w:t>
            </w:r>
          </w:p>
        </w:tc>
      </w:tr>
      <w:tr w:rsidR="0049734E" w:rsidRPr="0049734E" w14:paraId="7BCEA75F" w14:textId="77777777" w:rsidTr="0049734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F96EF7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MP-011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22C8DC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Amendoim Cru (Variedade B - Alternativo)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806336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1.10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6AC670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KG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4B9CE3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Matéria-Prima</w:t>
            </w:r>
          </w:p>
        </w:tc>
      </w:tr>
      <w:tr w:rsidR="0049734E" w:rsidRPr="0049734E" w14:paraId="705E4011" w14:textId="77777777" w:rsidTr="0049734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F7F1E8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IN-005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00817A3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Sal Refinado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7FB78F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0.01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BB1BFA5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KG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11D67D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Insumo</w:t>
            </w:r>
          </w:p>
        </w:tc>
      </w:tr>
      <w:tr w:rsidR="0049734E" w:rsidRPr="0049734E" w14:paraId="04BB00E6" w14:textId="77777777" w:rsidTr="0049734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CCB107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IN-006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B04643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Óleo Vegetal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8467C3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0.005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8D5B24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DEE2981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Insumo</w:t>
            </w:r>
          </w:p>
        </w:tc>
      </w:tr>
      <w:tr w:rsidR="0049734E" w:rsidRPr="0049734E" w14:paraId="2145CE22" w14:textId="77777777" w:rsidTr="0049734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1E3287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EMB-001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8516A5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Saco Plástico (200g)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C29B3A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1.00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C9A708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UN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19C921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Embalagem</w:t>
            </w:r>
          </w:p>
        </w:tc>
      </w:tr>
      <w:tr w:rsidR="0049734E" w:rsidRPr="0049734E" w14:paraId="4489A763" w14:textId="77777777" w:rsidTr="0049734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01AB59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EMB-002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172343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Caixa de Papelão (12un)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B0A872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0.08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3ACE7E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UN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1090A4" w14:textId="77777777" w:rsidR="0049734E" w:rsidRPr="0049734E" w:rsidRDefault="0049734E" w:rsidP="0049734E">
            <w:pPr>
              <w:spacing w:after="0" w:line="240" w:lineRule="auto"/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</w:pPr>
            <w:r w:rsidRPr="0049734E">
              <w:rPr>
                <w:rFonts w:ascii="Inter" w:eastAsia="Times New Roman" w:hAnsi="Inter" w:cs="Times New Roman"/>
                <w:color w:val="0C0C0C"/>
                <w:sz w:val="27"/>
                <w:szCs w:val="27"/>
                <w:lang w:eastAsia="pt-BR"/>
              </w:rPr>
              <w:t>Embalagem</w:t>
            </w:r>
          </w:p>
        </w:tc>
      </w:tr>
    </w:tbl>
    <w:p w14:paraId="6FE76990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" w:line="240" w:lineRule="auto"/>
        <w:outlineLvl w:val="2"/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</w:pPr>
      <w:r w:rsidRPr="0049734E"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  <w:t xml:space="preserve">7. </w:t>
      </w:r>
      <w:proofErr w:type="spellStart"/>
      <w:r w:rsidRPr="0049734E"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  <w:t>Checklist</w:t>
      </w:r>
      <w:proofErr w:type="spellEnd"/>
      <w:r w:rsidRPr="0049734E">
        <w:rPr>
          <w:rFonts w:ascii="Inter" w:eastAsia="Times New Roman" w:hAnsi="Inter" w:cs="Times New Roman"/>
          <w:color w:val="6D50B9"/>
          <w:sz w:val="26"/>
          <w:szCs w:val="26"/>
          <w:lang w:eastAsia="pt-BR"/>
        </w:rPr>
        <w:t xml:space="preserve"> de Preparação para a Demo</w:t>
      </w:r>
    </w:p>
    <w:p w14:paraId="1BC9A908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1. Ações de Pesquisa e Contexto:</w:t>
      </w:r>
    </w:p>
    <w:p w14:paraId="22666B27" w14:textId="77777777" w:rsidR="0049734E" w:rsidRPr="0049734E" w:rsidRDefault="0049734E" w:rsidP="0049734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Pesquisar processos específicos da indústria de alimentos (normas de qualidade, rastreabilidade, prazos de validade) para conectar com a oferta do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.</w:t>
      </w:r>
    </w:p>
    <w:p w14:paraId="4E298970" w14:textId="77777777" w:rsidR="0049734E" w:rsidRPr="0049734E" w:rsidRDefault="0049734E" w:rsidP="0049734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Explorar se a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Enova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Foods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possui alguma certificação de qualidade (ISO, BRC, FSSC) que possa ser usada como um ponto de conexão para a rastreabilidade.</w:t>
      </w:r>
    </w:p>
    <w:p w14:paraId="2A8A7876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2. Preparação do Ambiente de Demonstração (</w:t>
      </w:r>
      <w:proofErr w:type="spellStart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):</w:t>
      </w:r>
    </w:p>
    <w:p w14:paraId="1D3C1A7D" w14:textId="77777777" w:rsidR="0049734E" w:rsidRPr="0049734E" w:rsidRDefault="0049734E" w:rsidP="0049734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No ambiente de demonstração, criar um roteiro de produção (BOP) para "Amendoim Torrado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Agtal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", incluindo os processos de Torrefação e Embalagem.</w:t>
      </w:r>
    </w:p>
    <w:p w14:paraId="25D0FC29" w14:textId="77777777" w:rsidR="0049734E" w:rsidRPr="0049734E" w:rsidRDefault="0049734E" w:rsidP="0049734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Configurar dois itens de matéria-prima "Amendoim Cru (Variedade A)" e "Amendoim Cru (Variedade B)" e associar o segundo como item alternativo ao primeiro dentro de uma estrutura de produto no módulo de Engenharia, para demonstrar a flexibilidade.</w:t>
      </w:r>
    </w:p>
    <w:p w14:paraId="5D668710" w14:textId="77777777" w:rsidR="0049734E" w:rsidRPr="0049734E" w:rsidRDefault="0049734E" w:rsidP="0049734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Preparar um cenário onde o MRP gere uma recomendação de compra para o "Amendoim Cru", e demonstrar como o sistema pode sugerir o uso do alternativo ou permitir a reprogramação.</w:t>
      </w:r>
    </w:p>
    <w:p w14:paraId="4158464E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 xml:space="preserve">3. Pontos de Estudo (Foco no </w:t>
      </w:r>
      <w:proofErr w:type="spellStart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):</w:t>
      </w:r>
    </w:p>
    <w:p w14:paraId="728E01D7" w14:textId="77777777" w:rsidR="0049734E" w:rsidRPr="0049734E" w:rsidRDefault="0049734E" w:rsidP="0049734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lastRenderedPageBreak/>
        <w:t xml:space="preserve">Revisar detalhadamente o funcionamento da reprogramação de ordens de produção e documentos de compra no módulo de MRP do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.</w:t>
      </w:r>
    </w:p>
    <w:p w14:paraId="4CE97756" w14:textId="77777777" w:rsidR="0049734E" w:rsidRPr="0049734E" w:rsidRDefault="0049734E" w:rsidP="0049734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Estudar a funcionalidade de "Engenharia" no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, focando na gestão de múltiplas listas de materiais (M-BOM) ou itens alternativos e como isso se integra com o MRP.</w:t>
      </w:r>
    </w:p>
    <w:p w14:paraId="3393FD2D" w14:textId="77777777" w:rsidR="0049734E" w:rsidRPr="0049734E" w:rsidRDefault="0049734E" w:rsidP="0049734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Aprofundar-se nas opções de configuração do MRP para conjugações e fracionamentos de compra, e como a sugestão de compra pode ser editada.</w:t>
      </w:r>
    </w:p>
    <w:p w14:paraId="4F648682" w14:textId="77777777" w:rsidR="0049734E" w:rsidRPr="0049734E" w:rsidRDefault="0049734E" w:rsidP="0049734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Compreender como o 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DiamondOne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permite adicionar atributos ou campos específicos a itens para futuras necessidades de classificação (como o "</w:t>
      </w:r>
      <w:proofErr w:type="spellStart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flegar</w:t>
      </w:r>
      <w:proofErr w:type="spellEnd"/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 xml:space="preserve"> um campo específico" mencionado no briefing).</w:t>
      </w:r>
    </w:p>
    <w:p w14:paraId="5E88F6ED" w14:textId="77777777" w:rsidR="0049734E" w:rsidRPr="0049734E" w:rsidRDefault="0049734E" w:rsidP="004973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b/>
          <w:bCs/>
          <w:color w:val="0C0C0C"/>
          <w:sz w:val="27"/>
          <w:szCs w:val="27"/>
          <w:bdr w:val="single" w:sz="2" w:space="0" w:color="auto" w:frame="1"/>
          <w:lang w:eastAsia="pt-BR"/>
        </w:rPr>
        <w:t>4. Perguntas-Chave para a Reunião (Geradas pela Análise de Gaps):</w:t>
      </w:r>
    </w:p>
    <w:p w14:paraId="4775C9CC" w14:textId="77777777" w:rsidR="0049734E" w:rsidRPr="0049734E" w:rsidRDefault="0049734E" w:rsidP="0049734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"Hoje, qual o impacto financeiro e operacional da falta de uma visão rápida do estoque ideal e da valorização dos materiais diretos?"</w:t>
      </w:r>
    </w:p>
    <w:p w14:paraId="0CCB7FF0" w14:textId="77777777" w:rsidR="0049734E" w:rsidRPr="0049734E" w:rsidRDefault="0049734E" w:rsidP="0049734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"Quando o MRP recomenda uma nova compra de um item que já possui um pedido futuro, qual é o processo manual para ajustar essa recomendação e qual o tempo gasto com isso?"</w:t>
      </w:r>
    </w:p>
    <w:p w14:paraId="75F7D215" w14:textId="77777777" w:rsidR="0049734E" w:rsidRPr="0049734E" w:rsidRDefault="0049734E" w:rsidP="0049734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"Atualmente, como é feita a gestão da qualidade e rastreabilidade quando há a substituição de uma matéria-prima principal por um item alternativo?"</w:t>
      </w:r>
    </w:p>
    <w:p w14:paraId="3F435CCD" w14:textId="77777777" w:rsidR="0049734E" w:rsidRPr="0049734E" w:rsidRDefault="0049734E" w:rsidP="0049734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2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"Considerando a alta recorrência de troca de itens, qual o volume estimado de itens alternativos que vocês gerenciam e como a complexidade da "duplicação de estruturas" afeta a manutenção dos dados mestre?"</w:t>
      </w:r>
    </w:p>
    <w:p w14:paraId="164BF0FA" w14:textId="77777777" w:rsidR="0049734E" w:rsidRPr="0049734E" w:rsidRDefault="0049734E" w:rsidP="0049734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</w:pPr>
      <w:r w:rsidRPr="0049734E">
        <w:rPr>
          <w:rFonts w:ascii="Inter" w:eastAsia="Times New Roman" w:hAnsi="Inter" w:cs="Times New Roman"/>
          <w:color w:val="0C0C0C"/>
          <w:sz w:val="27"/>
          <w:szCs w:val="27"/>
          <w:lang w:eastAsia="pt-BR"/>
        </w:rPr>
        <w:t>"Se o sistema pudesse gerar recomendações de compra já aptas para emissão de pedido, considerando conjugações e fracionamentos, qual seria o ganho de eficiência para a equipe de compras?"</w:t>
      </w:r>
    </w:p>
    <w:p w14:paraId="7A686BC0" w14:textId="77777777" w:rsidR="00F22FD6" w:rsidRDefault="0049734E">
      <w:bookmarkStart w:id="0" w:name="_GoBack"/>
      <w:bookmarkEnd w:id="0"/>
    </w:p>
    <w:sectPr w:rsidR="00F2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7803"/>
    <w:multiLevelType w:val="multilevel"/>
    <w:tmpl w:val="C83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B429E"/>
    <w:multiLevelType w:val="multilevel"/>
    <w:tmpl w:val="B26A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53839"/>
    <w:multiLevelType w:val="multilevel"/>
    <w:tmpl w:val="347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57892"/>
    <w:multiLevelType w:val="multilevel"/>
    <w:tmpl w:val="931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964351"/>
    <w:multiLevelType w:val="multilevel"/>
    <w:tmpl w:val="7602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FB0FAB"/>
    <w:multiLevelType w:val="multilevel"/>
    <w:tmpl w:val="66C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C738EF"/>
    <w:multiLevelType w:val="multilevel"/>
    <w:tmpl w:val="B37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C0182D"/>
    <w:multiLevelType w:val="multilevel"/>
    <w:tmpl w:val="539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C674C6"/>
    <w:multiLevelType w:val="multilevel"/>
    <w:tmpl w:val="5AC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4E"/>
    <w:rsid w:val="00197357"/>
    <w:rsid w:val="0049734E"/>
    <w:rsid w:val="00D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F273"/>
  <w15:chartTrackingRefBased/>
  <w15:docId w15:val="{EE02E7FA-A21F-4767-8AE7-06FB287E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97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97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973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73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973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973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1190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Judsson</dc:creator>
  <cp:keywords/>
  <dc:description/>
  <cp:lastModifiedBy>Marcos Judsson</cp:lastModifiedBy>
  <cp:revision>1</cp:revision>
  <dcterms:created xsi:type="dcterms:W3CDTF">2025-06-25T15:36:00Z</dcterms:created>
  <dcterms:modified xsi:type="dcterms:W3CDTF">2025-06-25T15:37:00Z</dcterms:modified>
</cp:coreProperties>
</file>