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3AD1" w14:textId="77777777" w:rsidR="00F520A9" w:rsidRPr="00112EF2" w:rsidRDefault="00F520A9" w:rsidP="00CD3C82">
      <w:pPr>
        <w:pStyle w:val="NoSpacing"/>
        <w:rPr>
          <w:lang w:val="en-GB"/>
        </w:rPr>
      </w:pPr>
      <w:commentRangeStart w:id="0"/>
      <w:r w:rsidRPr="00112EF2">
        <w:rPr>
          <w:lang w:val="en-GB"/>
        </w:rPr>
        <w:t>Norman and Schlenker:</w:t>
      </w:r>
      <w:commentRangeEnd w:id="0"/>
      <w:r w:rsidR="00E43C01">
        <w:rPr>
          <w:rStyle w:val="CommentReference"/>
        </w:rPr>
        <w:commentReference w:id="0"/>
      </w:r>
    </w:p>
    <w:p w14:paraId="7B3A55E3" w14:textId="77777777" w:rsidR="00F520A9" w:rsidRPr="00112EF2" w:rsidRDefault="00F520A9" w:rsidP="003D4B27">
      <w:pPr>
        <w:pStyle w:val="Title"/>
        <w:rPr>
          <w:rFonts w:ascii="Times New Roman" w:hAnsi="Times New Roman" w:cs="Times New Roman"/>
          <w:lang w:val="en-GB"/>
        </w:rPr>
      </w:pPr>
      <w:r w:rsidRPr="00112EF2">
        <w:rPr>
          <w:rFonts w:ascii="Times New Roman" w:hAnsi="Times New Roman" w:cs="Times New Roman"/>
          <w:lang w:val="en-GB"/>
        </w:rPr>
        <w:t>EMPIRICAL TESTS OF THE GREEN PARADOX FOR CLIMATE LEGISLATION</w:t>
      </w:r>
    </w:p>
    <w:p w14:paraId="07FDF03C" w14:textId="43A19813" w:rsidR="00F520A9" w:rsidRPr="00112EF2" w:rsidRDefault="00F520A9" w:rsidP="003D4B27">
      <w:pPr>
        <w:pStyle w:val="Subtitle"/>
        <w:rPr>
          <w:rFonts w:ascii="Times New Roman" w:hAnsi="Times New Roman" w:cs="Times New Roman"/>
          <w:lang w:val="en-GB"/>
        </w:rPr>
      </w:pPr>
      <w:r w:rsidRPr="00112EF2">
        <w:rPr>
          <w:rFonts w:ascii="Times New Roman" w:hAnsi="Times New Roman" w:cs="Times New Roman"/>
          <w:lang w:val="en-GB"/>
        </w:rPr>
        <w:t>A brief analysis of the Paper-Slanzi Marco</w:t>
      </w:r>
    </w:p>
    <w:p w14:paraId="1F1FC0E3" w14:textId="7E388BA3" w:rsidR="00D370C6"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 xml:space="preserve">Norman and Schlenker's study </w:t>
      </w:r>
      <w:proofErr w:type="gramStart"/>
      <w:r w:rsidR="00FF12AB" w:rsidRPr="00112EF2">
        <w:rPr>
          <w:rFonts w:ascii="Times New Roman" w:hAnsi="Times New Roman" w:cs="Times New Roman"/>
          <w:sz w:val="28"/>
          <w:szCs w:val="28"/>
          <w:lang w:val="en-GB"/>
        </w:rPr>
        <w:t>explore</w:t>
      </w:r>
      <w:r w:rsidR="00FF12AB">
        <w:rPr>
          <w:rFonts w:ascii="Times New Roman" w:hAnsi="Times New Roman" w:cs="Times New Roman"/>
          <w:sz w:val="28"/>
          <w:szCs w:val="28"/>
          <w:lang w:val="en-GB"/>
        </w:rPr>
        <w:t>s</w:t>
      </w:r>
      <w:proofErr w:type="gramEnd"/>
      <w:r w:rsidR="00FF12AB">
        <w:rPr>
          <w:rFonts w:ascii="Times New Roman" w:hAnsi="Times New Roman" w:cs="Times New Roman"/>
          <w:sz w:val="28"/>
          <w:szCs w:val="28"/>
          <w:lang w:val="en-GB"/>
        </w:rPr>
        <w:t xml:space="preserve"> </w:t>
      </w:r>
      <w:r w:rsidRPr="00112EF2">
        <w:rPr>
          <w:rFonts w:ascii="Times New Roman" w:hAnsi="Times New Roman" w:cs="Times New Roman"/>
          <w:sz w:val="28"/>
          <w:szCs w:val="28"/>
          <w:lang w:val="en-GB"/>
        </w:rPr>
        <w:t>the Green Paradox</w:t>
      </w:r>
      <w:r w:rsidR="00D370C6">
        <w:rPr>
          <w:rFonts w:ascii="Times New Roman" w:hAnsi="Times New Roman" w:cs="Times New Roman"/>
          <w:sz w:val="28"/>
          <w:szCs w:val="28"/>
          <w:lang w:val="en-GB"/>
        </w:rPr>
        <w:t>,</w:t>
      </w:r>
      <w:r w:rsidRPr="00112EF2">
        <w:rPr>
          <w:rFonts w:ascii="Times New Roman" w:hAnsi="Times New Roman" w:cs="Times New Roman"/>
          <w:sz w:val="28"/>
          <w:szCs w:val="28"/>
          <w:lang w:val="en-GB"/>
        </w:rPr>
        <w:t xml:space="preserve"> providing evidence that expectations of stricter climate policies lead to lower current oil prices, incentivizing higher oil consumption</w:t>
      </w:r>
      <w:r w:rsidR="005A2E7F">
        <w:rPr>
          <w:rFonts w:ascii="Times New Roman" w:hAnsi="Times New Roman" w:cs="Times New Roman"/>
          <w:sz w:val="28"/>
          <w:szCs w:val="28"/>
          <w:lang w:val="en-GB"/>
        </w:rPr>
        <w:t xml:space="preserve"> in the short-term</w:t>
      </w:r>
      <w:r w:rsidR="00FF12AB">
        <w:rPr>
          <w:rFonts w:ascii="Times New Roman" w:hAnsi="Times New Roman" w:cs="Times New Roman"/>
          <w:sz w:val="28"/>
          <w:szCs w:val="28"/>
          <w:lang w:val="en-GB"/>
        </w:rPr>
        <w:t>.</w:t>
      </w:r>
    </w:p>
    <w:p w14:paraId="4A6C511E" w14:textId="41F52C94" w:rsidR="00D370C6"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 xml:space="preserve">This effect arises because market participants anticipate future policy restrictions that </w:t>
      </w:r>
      <w:commentRangeStart w:id="1"/>
      <w:r w:rsidRPr="00112EF2">
        <w:rPr>
          <w:rFonts w:ascii="Times New Roman" w:hAnsi="Times New Roman" w:cs="Times New Roman"/>
          <w:sz w:val="28"/>
          <w:szCs w:val="28"/>
          <w:lang w:val="en-GB"/>
        </w:rPr>
        <w:t>would reduce oil prices in the short term</w:t>
      </w:r>
      <w:commentRangeEnd w:id="1"/>
      <w:r w:rsidR="00CD3C82">
        <w:rPr>
          <w:rStyle w:val="CommentReference"/>
        </w:rPr>
        <w:commentReference w:id="1"/>
      </w:r>
      <w:r w:rsidR="00FF12AB">
        <w:rPr>
          <w:rFonts w:ascii="Times New Roman" w:hAnsi="Times New Roman" w:cs="Times New Roman"/>
          <w:sz w:val="28"/>
          <w:szCs w:val="28"/>
          <w:lang w:val="en-GB"/>
        </w:rPr>
        <w:t>, causing an involuntary increase in oil usage</w:t>
      </w:r>
      <w:r w:rsidR="008F138B">
        <w:rPr>
          <w:rFonts w:ascii="Times New Roman" w:hAnsi="Times New Roman" w:cs="Times New Roman"/>
          <w:sz w:val="28"/>
          <w:szCs w:val="28"/>
          <w:lang w:val="en-GB"/>
        </w:rPr>
        <w:t>, obtaining the opposite of the desirable effect.</w:t>
      </w:r>
    </w:p>
    <w:p w14:paraId="5B807D08" w14:textId="57EEC6EC" w:rsidR="00112EF2" w:rsidRPr="00112EF2"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While their findings offer valuable insights into fossil fuel markets responses to climate policy expectations, they rely on the Hotelling model, which involves assumptions that may limit the accuracy and applicability of their conclusions.</w:t>
      </w:r>
    </w:p>
    <w:p w14:paraId="19BA06AD" w14:textId="22F0EC97" w:rsidR="00FF0CAE"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To enhance the study, addressing t</w:t>
      </w:r>
      <w:r w:rsidR="00C60658">
        <w:rPr>
          <w:rFonts w:ascii="Times New Roman" w:hAnsi="Times New Roman" w:cs="Times New Roman"/>
          <w:sz w:val="28"/>
          <w:szCs w:val="28"/>
          <w:lang w:val="en-GB"/>
        </w:rPr>
        <w:t>he</w:t>
      </w:r>
      <w:r w:rsidRPr="00112EF2">
        <w:rPr>
          <w:rFonts w:ascii="Times New Roman" w:hAnsi="Times New Roman" w:cs="Times New Roman"/>
          <w:sz w:val="28"/>
          <w:szCs w:val="28"/>
          <w:lang w:val="en-GB"/>
        </w:rPr>
        <w:t xml:space="preserve"> key assumptions of the Hotelling framework</w:t>
      </w:r>
      <w:r w:rsidR="009E5EDB">
        <w:rPr>
          <w:rFonts w:ascii="Times New Roman" w:hAnsi="Times New Roman" w:cs="Times New Roman"/>
          <w:sz w:val="28"/>
          <w:szCs w:val="28"/>
          <w:lang w:val="en-GB"/>
        </w:rPr>
        <w:t xml:space="preserve"> is essential.</w:t>
      </w:r>
    </w:p>
    <w:p w14:paraId="4E266A7B" w14:textId="36935ED6" w:rsidR="00D370C6"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Van der Ploeg’s paper "Cumulative Carbon Emissions and the Green Paradox”</w:t>
      </w:r>
      <w:r w:rsidRPr="00112EF2">
        <w:rPr>
          <w:rStyle w:val="FootnoteReference"/>
          <w:rFonts w:ascii="Times New Roman" w:hAnsi="Times New Roman" w:cs="Times New Roman"/>
          <w:sz w:val="28"/>
          <w:szCs w:val="28"/>
          <w:lang w:val="en-GB"/>
        </w:rPr>
        <w:t xml:space="preserve"> </w:t>
      </w:r>
      <w:r w:rsidRPr="00112EF2">
        <w:rPr>
          <w:rStyle w:val="FootnoteReference"/>
          <w:rFonts w:ascii="Times New Roman" w:hAnsi="Times New Roman" w:cs="Times New Roman"/>
          <w:sz w:val="28"/>
          <w:szCs w:val="28"/>
        </w:rPr>
        <w:footnoteReference w:id="1"/>
      </w:r>
      <w:r w:rsidRPr="00112EF2">
        <w:rPr>
          <w:rFonts w:ascii="Times New Roman" w:hAnsi="Times New Roman" w:cs="Times New Roman"/>
          <w:sz w:val="28"/>
          <w:szCs w:val="28"/>
          <w:lang w:val="en-GB"/>
        </w:rPr>
        <w:t xml:space="preserve">  offers a more realistic model by incorporating </w:t>
      </w:r>
      <w:commentRangeStart w:id="2"/>
      <w:r w:rsidRPr="00112EF2">
        <w:rPr>
          <w:rFonts w:ascii="Times New Roman" w:hAnsi="Times New Roman" w:cs="Times New Roman"/>
          <w:sz w:val="28"/>
          <w:szCs w:val="28"/>
          <w:lang w:val="en-GB"/>
        </w:rPr>
        <w:t>dynamic</w:t>
      </w:r>
      <w:commentRangeEnd w:id="2"/>
      <w:r w:rsidR="00CD3C82">
        <w:rPr>
          <w:rStyle w:val="CommentReference"/>
        </w:rPr>
        <w:commentReference w:id="2"/>
      </w:r>
      <w:r w:rsidRPr="00112EF2">
        <w:rPr>
          <w:rFonts w:ascii="Times New Roman" w:hAnsi="Times New Roman" w:cs="Times New Roman"/>
          <w:sz w:val="28"/>
          <w:szCs w:val="28"/>
          <w:lang w:val="en-GB"/>
        </w:rPr>
        <w:t xml:space="preserve"> resource stocks and extraction costs</w:t>
      </w:r>
      <w:r w:rsidR="009E5EDB">
        <w:rPr>
          <w:rFonts w:ascii="Times New Roman" w:hAnsi="Times New Roman" w:cs="Times New Roman"/>
          <w:sz w:val="28"/>
          <w:szCs w:val="28"/>
          <w:lang w:val="en-GB"/>
        </w:rPr>
        <w:t xml:space="preserve"> in the model.</w:t>
      </w:r>
    </w:p>
    <w:p w14:paraId="6B497631" w14:textId="69A0854A" w:rsidR="00112EF2" w:rsidRPr="00112EF2"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This framework suggests that economic exhaustion, rather than resource scarcity, is the primary constraint, providing a different perspective on the Green Paradox.</w:t>
      </w:r>
    </w:p>
    <w:p w14:paraId="5CBF2867" w14:textId="536B0E77" w:rsidR="00862D82"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 xml:space="preserve">Norman and Schlenker's </w:t>
      </w:r>
      <w:r w:rsidR="00D370C6">
        <w:rPr>
          <w:rFonts w:ascii="Times New Roman" w:hAnsi="Times New Roman" w:cs="Times New Roman"/>
          <w:sz w:val="28"/>
          <w:szCs w:val="28"/>
          <w:lang w:val="en-GB"/>
        </w:rPr>
        <w:t>“</w:t>
      </w:r>
      <w:r w:rsidRPr="00112EF2">
        <w:rPr>
          <w:rFonts w:ascii="Times New Roman" w:hAnsi="Times New Roman" w:cs="Times New Roman"/>
          <w:sz w:val="28"/>
          <w:szCs w:val="28"/>
          <w:lang w:val="en-GB"/>
        </w:rPr>
        <w:t>Physical exhaustion</w:t>
      </w:r>
      <w:r w:rsidR="00862D82">
        <w:rPr>
          <w:rFonts w:ascii="Times New Roman" w:hAnsi="Times New Roman" w:cs="Times New Roman"/>
          <w:sz w:val="28"/>
          <w:szCs w:val="28"/>
          <w:lang w:val="en-GB"/>
        </w:rPr>
        <w:t xml:space="preserve">” </w:t>
      </w:r>
      <w:r w:rsidRPr="00112EF2">
        <w:rPr>
          <w:rFonts w:ascii="Times New Roman" w:hAnsi="Times New Roman" w:cs="Times New Roman"/>
          <w:sz w:val="28"/>
          <w:szCs w:val="28"/>
          <w:lang w:val="en-GB"/>
        </w:rPr>
        <w:t xml:space="preserve">model suggest that anticipated future restrictions lead to the </w:t>
      </w:r>
      <w:r w:rsidR="00862D82">
        <w:rPr>
          <w:rFonts w:ascii="Times New Roman" w:hAnsi="Times New Roman" w:cs="Times New Roman"/>
          <w:sz w:val="28"/>
          <w:szCs w:val="28"/>
          <w:lang w:val="en-GB"/>
        </w:rPr>
        <w:t>“</w:t>
      </w:r>
      <w:r w:rsidRPr="00112EF2">
        <w:rPr>
          <w:rFonts w:ascii="Times New Roman" w:hAnsi="Times New Roman" w:cs="Times New Roman"/>
          <w:sz w:val="28"/>
          <w:szCs w:val="28"/>
          <w:lang w:val="en-GB"/>
        </w:rPr>
        <w:t>Green Paradox</w:t>
      </w:r>
      <w:r w:rsidR="00862D82">
        <w:rPr>
          <w:rFonts w:ascii="Times New Roman" w:hAnsi="Times New Roman" w:cs="Times New Roman"/>
          <w:sz w:val="28"/>
          <w:szCs w:val="28"/>
          <w:lang w:val="en-GB"/>
        </w:rPr>
        <w:t>”</w:t>
      </w:r>
      <w:r w:rsidRPr="00112EF2">
        <w:rPr>
          <w:rFonts w:ascii="Times New Roman" w:hAnsi="Times New Roman" w:cs="Times New Roman"/>
          <w:sz w:val="28"/>
          <w:szCs w:val="28"/>
          <w:lang w:val="en-GB"/>
        </w:rPr>
        <w:t>.</w:t>
      </w:r>
    </w:p>
    <w:p w14:paraId="102B1EC1" w14:textId="77777777" w:rsidR="00D370C6"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However, Van der Ploeg’s approach indicates that rising extraction costs could mitigate the short-term effects of the paradox.</w:t>
      </w:r>
    </w:p>
    <w:p w14:paraId="32C6390F" w14:textId="77777777" w:rsidR="005A2E7F"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Van der Ploeg argues that the Green Paradox is a temporary issue, with its significance decreasing as cumulative emissions become the dominant long-term concern.</w:t>
      </w:r>
    </w:p>
    <w:p w14:paraId="7C483147" w14:textId="2FD8FF48" w:rsidR="00112EF2" w:rsidRPr="00112EF2" w:rsidRDefault="00112EF2" w:rsidP="003D4B27">
      <w:pPr>
        <w:rPr>
          <w:rFonts w:ascii="Times New Roman" w:hAnsi="Times New Roman" w:cs="Times New Roman"/>
          <w:sz w:val="28"/>
          <w:szCs w:val="28"/>
          <w:lang w:val="en-GB"/>
        </w:rPr>
      </w:pPr>
      <w:commentRangeStart w:id="3"/>
      <w:r w:rsidRPr="00112EF2">
        <w:rPr>
          <w:rFonts w:ascii="Times New Roman" w:hAnsi="Times New Roman" w:cs="Times New Roman"/>
          <w:sz w:val="28"/>
          <w:szCs w:val="28"/>
          <w:lang w:val="en-GB"/>
        </w:rPr>
        <w:lastRenderedPageBreak/>
        <w:t>This insight aligns with the understanding that well-implemented climate policies may increase short-term emissions but ultimately reduce long-term cumulative emissions, which are more critical for addressing global warming.</w:t>
      </w:r>
      <w:commentRangeEnd w:id="3"/>
      <w:r w:rsidR="00CD3C82">
        <w:rPr>
          <w:rStyle w:val="CommentReference"/>
        </w:rPr>
        <w:commentReference w:id="3"/>
      </w:r>
    </w:p>
    <w:p w14:paraId="4ED32D47" w14:textId="77777777" w:rsidR="00D370C6"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While Norman and Schlenker adopt an empirical approach, Van der Ploeg’s theoretical framework could complement their study.</w:t>
      </w:r>
    </w:p>
    <w:p w14:paraId="05FF0985" w14:textId="084228FF" w:rsidR="00AC3209" w:rsidRDefault="00AC3209" w:rsidP="003D4B27">
      <w:pPr>
        <w:rPr>
          <w:rFonts w:ascii="Times New Roman" w:hAnsi="Times New Roman" w:cs="Times New Roman"/>
          <w:sz w:val="28"/>
          <w:szCs w:val="28"/>
          <w:lang w:val="en-GB"/>
        </w:rPr>
      </w:pPr>
      <w:commentRangeStart w:id="4"/>
      <w:r w:rsidRPr="00AC3209">
        <w:rPr>
          <w:rFonts w:ascii="Times New Roman" w:hAnsi="Times New Roman" w:cs="Times New Roman"/>
          <w:sz w:val="28"/>
          <w:szCs w:val="28"/>
          <w:lang w:val="en-GB"/>
        </w:rPr>
        <w:t>Incorporating projections on cumulative emissions would allow Norman and Schlenker to capture both short-term extraction effects and the broader long-term impact on climate temperature responses</w:t>
      </w:r>
      <w:r w:rsidR="0061759C">
        <w:rPr>
          <w:rFonts w:ascii="Times New Roman" w:hAnsi="Times New Roman" w:cs="Times New Roman"/>
          <w:sz w:val="28"/>
          <w:szCs w:val="28"/>
          <w:lang w:val="en-GB"/>
        </w:rPr>
        <w:t>,</w:t>
      </w:r>
      <w:commentRangeEnd w:id="4"/>
      <w:r w:rsidR="0001219A">
        <w:rPr>
          <w:rStyle w:val="CommentReference"/>
        </w:rPr>
        <w:commentReference w:id="4"/>
      </w:r>
      <w:r w:rsidR="0061759C" w:rsidRPr="0061759C">
        <w:rPr>
          <w:rFonts w:ascii="Times New Roman" w:hAnsi="Times New Roman" w:cs="Times New Roman"/>
          <w:sz w:val="28"/>
          <w:szCs w:val="28"/>
          <w:lang w:val="en-GB"/>
        </w:rPr>
        <w:t xml:space="preserve"> </w:t>
      </w:r>
      <w:r w:rsidR="0061759C">
        <w:rPr>
          <w:rFonts w:ascii="Times New Roman" w:hAnsi="Times New Roman" w:cs="Times New Roman"/>
          <w:sz w:val="28"/>
          <w:szCs w:val="28"/>
          <w:lang w:val="en-GB"/>
        </w:rPr>
        <w:t xml:space="preserve">using a </w:t>
      </w:r>
      <w:r w:rsidR="0061759C" w:rsidRPr="00B579C6">
        <w:rPr>
          <w:rFonts w:ascii="Times New Roman" w:hAnsi="Times New Roman" w:cs="Times New Roman"/>
          <w:sz w:val="28"/>
          <w:szCs w:val="28"/>
          <w:lang w:val="en-GB"/>
        </w:rPr>
        <w:t>framework</w:t>
      </w:r>
      <w:r w:rsidR="0061759C">
        <w:rPr>
          <w:rFonts w:ascii="Times New Roman" w:hAnsi="Times New Roman" w:cs="Times New Roman"/>
          <w:sz w:val="28"/>
          <w:szCs w:val="28"/>
          <w:lang w:val="en-GB"/>
        </w:rPr>
        <w:t xml:space="preserve"> </w:t>
      </w:r>
      <w:r w:rsidR="0061759C" w:rsidRPr="00B579C6">
        <w:rPr>
          <w:rFonts w:ascii="Times New Roman" w:hAnsi="Times New Roman" w:cs="Times New Roman"/>
          <w:sz w:val="28"/>
          <w:szCs w:val="28"/>
          <w:lang w:val="en-GB"/>
        </w:rPr>
        <w:t>like Nordhaus's DICE model (Nordhaus, 2017)</w:t>
      </w:r>
      <w:r w:rsidR="0061759C">
        <w:rPr>
          <w:rStyle w:val="FootnoteReference"/>
          <w:rFonts w:ascii="Times New Roman" w:hAnsi="Times New Roman" w:cs="Times New Roman"/>
          <w:sz w:val="28"/>
          <w:szCs w:val="28"/>
          <w:lang w:val="en-GB"/>
        </w:rPr>
        <w:footnoteReference w:id="2"/>
      </w:r>
      <w:r w:rsidR="0061759C">
        <w:rPr>
          <w:rFonts w:ascii="Times New Roman" w:hAnsi="Times New Roman" w:cs="Times New Roman"/>
          <w:sz w:val="28"/>
          <w:szCs w:val="28"/>
          <w:lang w:val="en-GB"/>
        </w:rPr>
        <w:t>, but adapted to study the Green Paradox phenomenon, modelling expectations, oil futures prices, oil spot prices and increase in emissions and temperatures.</w:t>
      </w:r>
    </w:p>
    <w:p w14:paraId="69C95CB7" w14:textId="354A7F36" w:rsidR="00D370C6" w:rsidRDefault="00112EF2"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Van der Ploeg’s framework suggests that rising extraction costs can temper the Green Paradox’s short-term effects, offering a more nuanced view of how economic factors influence fossil fuel extraction in response to policy changes. Norman and Schlenker could further improve their study by testing different policy scenarios to understand the paradox and its mitigation.</w:t>
      </w:r>
    </w:p>
    <w:p w14:paraId="7858FD83" w14:textId="77777777" w:rsidR="00EF686B" w:rsidRPr="00112EF2" w:rsidRDefault="00EF686B" w:rsidP="003D4B27">
      <w:pPr>
        <w:pStyle w:val="NormalWeb"/>
        <w:rPr>
          <w:sz w:val="28"/>
          <w:szCs w:val="28"/>
        </w:rPr>
      </w:pPr>
    </w:p>
    <w:p w14:paraId="3EF24BD9" w14:textId="16FA9947" w:rsidR="00585382" w:rsidRPr="00112EF2" w:rsidRDefault="00F76D1C" w:rsidP="003D4B27">
      <w:pPr>
        <w:pStyle w:val="Subtitle"/>
        <w:rPr>
          <w:rFonts w:ascii="Times New Roman" w:hAnsi="Times New Roman" w:cs="Times New Roman"/>
          <w:lang w:val="en-GB"/>
        </w:rPr>
      </w:pPr>
      <w:r w:rsidRPr="00112EF2">
        <w:rPr>
          <w:rFonts w:ascii="Times New Roman" w:hAnsi="Times New Roman" w:cs="Times New Roman"/>
          <w:lang w:val="en-GB"/>
        </w:rPr>
        <w:t>Methodology</w:t>
      </w:r>
    </w:p>
    <w:p w14:paraId="7D67B332" w14:textId="77777777" w:rsidR="00D370C6"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 xml:space="preserve">Norman and Schlenker use prediction market data, daily futures data (ranging from 1 to 24 months), and news-based indexes to </w:t>
      </w:r>
      <w:r w:rsidR="0085152B" w:rsidRPr="00860961">
        <w:rPr>
          <w:rFonts w:ascii="Times New Roman" w:hAnsi="Times New Roman" w:cs="Times New Roman"/>
          <w:sz w:val="28"/>
          <w:szCs w:val="28"/>
          <w:lang w:val="en-GB"/>
        </w:rPr>
        <w:t>analyse</w:t>
      </w:r>
      <w:r w:rsidRPr="00860961">
        <w:rPr>
          <w:rFonts w:ascii="Times New Roman" w:hAnsi="Times New Roman" w:cs="Times New Roman"/>
          <w:sz w:val="28"/>
          <w:szCs w:val="28"/>
          <w:lang w:val="en-GB"/>
        </w:rPr>
        <w:t xml:space="preserve"> market reactions to key climate policy events, including the Waxman-Markey bill (2009-2010), the </w:t>
      </w:r>
      <w:proofErr w:type="spellStart"/>
      <w:r w:rsidRPr="00860961">
        <w:rPr>
          <w:rFonts w:ascii="Times New Roman" w:hAnsi="Times New Roman" w:cs="Times New Roman"/>
          <w:sz w:val="28"/>
          <w:szCs w:val="28"/>
          <w:lang w:val="en-GB"/>
        </w:rPr>
        <w:t>Urgenda</w:t>
      </w:r>
      <w:proofErr w:type="spellEnd"/>
      <w:r w:rsidRPr="00860961">
        <w:rPr>
          <w:rFonts w:ascii="Times New Roman" w:hAnsi="Times New Roman" w:cs="Times New Roman"/>
          <w:sz w:val="28"/>
          <w:szCs w:val="28"/>
          <w:lang w:val="en-GB"/>
        </w:rPr>
        <w:t xml:space="preserve"> v. Netherlands case, and the Massachusetts v. EPA case.</w:t>
      </w:r>
    </w:p>
    <w:p w14:paraId="0977B670" w14:textId="0D149054" w:rsidR="00860961" w:rsidRPr="00860961"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Their study captures immediate market responses to anticipated regulatory changes but does not link these responses to emissions reductions</w:t>
      </w:r>
      <w:r w:rsidR="00315F8C">
        <w:rPr>
          <w:rFonts w:ascii="Times New Roman" w:hAnsi="Times New Roman" w:cs="Times New Roman"/>
          <w:sz w:val="28"/>
          <w:szCs w:val="28"/>
          <w:lang w:val="en-GB"/>
        </w:rPr>
        <w:t xml:space="preserve">, although they analyse the data on the storage and </w:t>
      </w:r>
      <w:commentRangeStart w:id="5"/>
      <w:r w:rsidR="00315F8C">
        <w:rPr>
          <w:rFonts w:ascii="Times New Roman" w:hAnsi="Times New Roman" w:cs="Times New Roman"/>
          <w:sz w:val="28"/>
          <w:szCs w:val="28"/>
          <w:lang w:val="en-GB"/>
        </w:rPr>
        <w:t>extraction of oil, obtaining indirectly the usage rate of the resource</w:t>
      </w:r>
      <w:commentRangeEnd w:id="5"/>
      <w:r w:rsidR="00E56EFC">
        <w:rPr>
          <w:rStyle w:val="CommentReference"/>
        </w:rPr>
        <w:commentReference w:id="5"/>
      </w:r>
      <w:r w:rsidR="00315F8C">
        <w:rPr>
          <w:rFonts w:ascii="Times New Roman" w:hAnsi="Times New Roman" w:cs="Times New Roman"/>
          <w:sz w:val="28"/>
          <w:szCs w:val="28"/>
          <w:lang w:val="en-GB"/>
        </w:rPr>
        <w:t>.</w:t>
      </w:r>
    </w:p>
    <w:p w14:paraId="5B74D2EB" w14:textId="77777777" w:rsidR="00EA3CE9" w:rsidRDefault="00EA3CE9" w:rsidP="003D4B27">
      <w:pPr>
        <w:rPr>
          <w:rFonts w:ascii="Times New Roman" w:hAnsi="Times New Roman" w:cs="Times New Roman"/>
          <w:sz w:val="28"/>
          <w:szCs w:val="28"/>
          <w:lang w:val="en-GB"/>
        </w:rPr>
      </w:pPr>
      <w:r w:rsidRPr="00EA3CE9">
        <w:rPr>
          <w:rFonts w:ascii="Times New Roman" w:hAnsi="Times New Roman" w:cs="Times New Roman"/>
          <w:sz w:val="28"/>
          <w:szCs w:val="28"/>
          <w:lang w:val="en-GB"/>
        </w:rPr>
        <w:t>The study highlights several key conclusions regarding the relationship between climate policy and oil price dynamics.</w:t>
      </w:r>
    </w:p>
    <w:p w14:paraId="6934E7B4" w14:textId="77777777" w:rsidR="00EA3CE9" w:rsidRDefault="00EA3CE9" w:rsidP="003D4B27">
      <w:pPr>
        <w:rPr>
          <w:rFonts w:ascii="Times New Roman" w:hAnsi="Times New Roman" w:cs="Times New Roman"/>
          <w:sz w:val="28"/>
          <w:szCs w:val="28"/>
          <w:lang w:val="en-GB"/>
        </w:rPr>
      </w:pPr>
      <w:r w:rsidRPr="00EA3CE9">
        <w:rPr>
          <w:rFonts w:ascii="Times New Roman" w:hAnsi="Times New Roman" w:cs="Times New Roman"/>
          <w:sz w:val="28"/>
          <w:szCs w:val="28"/>
          <w:lang w:val="en-GB"/>
        </w:rPr>
        <w:t>It finds that the likelihood of cap-and-trade legislation leads to a decline in oil futures prices, supporting the Green Paradox.</w:t>
      </w:r>
    </w:p>
    <w:p w14:paraId="69E44AB1" w14:textId="4583FBA3" w:rsidR="00EA3CE9" w:rsidRDefault="00EA3CE9" w:rsidP="003D4B27">
      <w:pPr>
        <w:rPr>
          <w:rFonts w:ascii="Times New Roman" w:hAnsi="Times New Roman" w:cs="Times New Roman"/>
          <w:sz w:val="28"/>
          <w:szCs w:val="28"/>
          <w:lang w:val="en-GB"/>
        </w:rPr>
      </w:pPr>
      <w:r w:rsidRPr="00EA3CE9">
        <w:rPr>
          <w:rFonts w:ascii="Times New Roman" w:hAnsi="Times New Roman" w:cs="Times New Roman"/>
          <w:sz w:val="28"/>
          <w:szCs w:val="28"/>
          <w:lang w:val="en-GB"/>
        </w:rPr>
        <w:t>Oil price shocks during intense climate policy debates are observed to be persistent, suggesting that market adjustments to policy shifts can take time.</w:t>
      </w:r>
    </w:p>
    <w:p w14:paraId="5201563F" w14:textId="7359730E" w:rsidR="00EA3CE9" w:rsidRDefault="00EA3CE9" w:rsidP="003D4B27">
      <w:pPr>
        <w:rPr>
          <w:rFonts w:ascii="Times New Roman" w:hAnsi="Times New Roman" w:cs="Times New Roman"/>
          <w:sz w:val="28"/>
          <w:szCs w:val="28"/>
          <w:lang w:val="en-GB"/>
        </w:rPr>
      </w:pPr>
      <w:r w:rsidRPr="00EA3CE9">
        <w:rPr>
          <w:rFonts w:ascii="Times New Roman" w:hAnsi="Times New Roman" w:cs="Times New Roman"/>
          <w:sz w:val="28"/>
          <w:szCs w:val="28"/>
          <w:lang w:val="en-GB"/>
        </w:rPr>
        <w:lastRenderedPageBreak/>
        <w:t xml:space="preserve">Additionally, major policy events </w:t>
      </w:r>
      <w:r>
        <w:rPr>
          <w:rFonts w:ascii="Times New Roman" w:hAnsi="Times New Roman" w:cs="Times New Roman"/>
          <w:sz w:val="28"/>
          <w:szCs w:val="28"/>
          <w:lang w:val="en-GB"/>
        </w:rPr>
        <w:t>lead to</w:t>
      </w:r>
      <w:r w:rsidRPr="00EA3CE9">
        <w:rPr>
          <w:rFonts w:ascii="Times New Roman" w:hAnsi="Times New Roman" w:cs="Times New Roman"/>
          <w:sz w:val="28"/>
          <w:szCs w:val="28"/>
          <w:lang w:val="en-GB"/>
        </w:rPr>
        <w:t xml:space="preserve"> significant declines in oil futures prices, indicating the market</w:t>
      </w:r>
      <w:r>
        <w:rPr>
          <w:rFonts w:ascii="Times New Roman" w:hAnsi="Times New Roman" w:cs="Times New Roman"/>
          <w:sz w:val="28"/>
          <w:szCs w:val="28"/>
          <w:lang w:val="en-GB"/>
        </w:rPr>
        <w:t>’</w:t>
      </w:r>
      <w:r w:rsidRPr="00EA3CE9">
        <w:rPr>
          <w:rFonts w:ascii="Times New Roman" w:hAnsi="Times New Roman" w:cs="Times New Roman"/>
          <w:sz w:val="28"/>
          <w:szCs w:val="28"/>
          <w:lang w:val="en-GB"/>
        </w:rPr>
        <w:t>s sensitivity to changes in policy expectations.</w:t>
      </w:r>
    </w:p>
    <w:p w14:paraId="4BB98E61" w14:textId="4518CD36" w:rsidR="00EA3CE9" w:rsidRDefault="00EA3CE9" w:rsidP="003D4B27">
      <w:pPr>
        <w:rPr>
          <w:rFonts w:ascii="Times New Roman" w:hAnsi="Times New Roman" w:cs="Times New Roman"/>
          <w:sz w:val="28"/>
          <w:szCs w:val="28"/>
          <w:lang w:val="en-GB"/>
        </w:rPr>
      </w:pPr>
      <w:r w:rsidRPr="00EA3CE9">
        <w:rPr>
          <w:rFonts w:ascii="Times New Roman" w:hAnsi="Times New Roman" w:cs="Times New Roman"/>
          <w:sz w:val="28"/>
          <w:szCs w:val="28"/>
          <w:lang w:val="en-GB"/>
        </w:rPr>
        <w:t xml:space="preserve">These shocks exhibit high persistence, especially when climate legislation is being </w:t>
      </w:r>
      <w:r>
        <w:rPr>
          <w:rFonts w:ascii="Times New Roman" w:hAnsi="Times New Roman" w:cs="Times New Roman"/>
          <w:sz w:val="28"/>
          <w:szCs w:val="28"/>
          <w:lang w:val="en-GB"/>
        </w:rPr>
        <w:t xml:space="preserve">publicly </w:t>
      </w:r>
      <w:commentRangeStart w:id="6"/>
      <w:r w:rsidRPr="00EA3CE9">
        <w:rPr>
          <w:rFonts w:ascii="Times New Roman" w:hAnsi="Times New Roman" w:cs="Times New Roman"/>
          <w:sz w:val="28"/>
          <w:szCs w:val="28"/>
          <w:lang w:val="en-GB"/>
        </w:rPr>
        <w:t>debated.</w:t>
      </w:r>
      <w:commentRangeEnd w:id="6"/>
      <w:r w:rsidR="00AA351F">
        <w:rPr>
          <w:rStyle w:val="CommentReference"/>
        </w:rPr>
        <w:commentReference w:id="6"/>
      </w:r>
    </w:p>
    <w:p w14:paraId="583507D0" w14:textId="559EE322" w:rsidR="00285AB2" w:rsidRPr="00285AB2" w:rsidRDefault="00285AB2" w:rsidP="003D4B27">
      <w:pPr>
        <w:pStyle w:val="Subtitle"/>
        <w:rPr>
          <w:lang w:val="en-GB"/>
        </w:rPr>
      </w:pPr>
      <w:r w:rsidRPr="00285AB2">
        <w:rPr>
          <w:lang w:val="en-GB"/>
        </w:rPr>
        <w:t>The regression model</w:t>
      </w:r>
    </w:p>
    <w:p w14:paraId="195DC406" w14:textId="499FCDEE" w:rsidR="00977D01" w:rsidRPr="00977D01" w:rsidRDefault="0085152B" w:rsidP="003D4B27">
      <w:pPr>
        <w:rPr>
          <w:rFonts w:ascii="Times New Roman" w:hAnsi="Times New Roman" w:cs="Times New Roman"/>
          <w:sz w:val="28"/>
          <w:szCs w:val="28"/>
          <w:lang w:val="en-GB"/>
        </w:rPr>
      </w:pPr>
      <w:r w:rsidRPr="00977D01">
        <w:rPr>
          <w:rFonts w:ascii="Times New Roman" w:hAnsi="Times New Roman" w:cs="Times New Roman"/>
          <w:sz w:val="28"/>
          <w:szCs w:val="28"/>
          <w:lang w:val="en-GB"/>
        </w:rPr>
        <w:t>T</w:t>
      </w:r>
      <w:r>
        <w:rPr>
          <w:rFonts w:ascii="Times New Roman" w:hAnsi="Times New Roman" w:cs="Times New Roman"/>
          <w:sz w:val="28"/>
          <w:szCs w:val="28"/>
          <w:lang w:val="en-GB"/>
        </w:rPr>
        <w:t>he</w:t>
      </w:r>
      <w:r w:rsidR="00977D01" w:rsidRPr="00977D01">
        <w:rPr>
          <w:rFonts w:ascii="Times New Roman" w:hAnsi="Times New Roman" w:cs="Times New Roman"/>
          <w:sz w:val="28"/>
          <w:szCs w:val="28"/>
          <w:lang w:val="en-GB"/>
        </w:rPr>
        <w:t xml:space="preserve"> regression</w:t>
      </w:r>
      <w:r w:rsidR="00977D01">
        <w:rPr>
          <w:rFonts w:ascii="Times New Roman" w:hAnsi="Times New Roman" w:cs="Times New Roman"/>
          <w:sz w:val="28"/>
          <w:szCs w:val="28"/>
          <w:lang w:val="en-GB"/>
        </w:rPr>
        <w:t xml:space="preserve"> which</w:t>
      </w:r>
      <w:r w:rsidR="00977D01" w:rsidRPr="00977D01">
        <w:rPr>
          <w:rFonts w:ascii="Times New Roman" w:hAnsi="Times New Roman" w:cs="Times New Roman"/>
          <w:sz w:val="28"/>
          <w:szCs w:val="28"/>
          <w:lang w:val="en-GB"/>
        </w:rPr>
        <w:t xml:space="preserve"> links the percent change in oil futures (∆y) to the percent change in the oil spot price (∆p) and the percent change in the S&amp;P 500 index (∆z)</w:t>
      </w:r>
      <w:r w:rsidR="00977D01">
        <w:rPr>
          <w:rFonts w:ascii="Times New Roman" w:hAnsi="Times New Roman" w:cs="Times New Roman"/>
          <w:sz w:val="28"/>
          <w:szCs w:val="28"/>
          <w:lang w:val="en-GB"/>
        </w:rPr>
        <w:t xml:space="preserve"> </w:t>
      </w:r>
      <w:r w:rsidR="00AB0542">
        <w:rPr>
          <w:rFonts w:ascii="Times New Roman" w:hAnsi="Times New Roman" w:cs="Times New Roman"/>
          <w:sz w:val="28"/>
          <w:szCs w:val="28"/>
          <w:lang w:val="en-GB"/>
        </w:rPr>
        <w:t>which is applied is</w:t>
      </w:r>
      <w:r w:rsidR="00977D01" w:rsidRPr="00977D01">
        <w:rPr>
          <w:rFonts w:ascii="Times New Roman" w:hAnsi="Times New Roman" w:cs="Times New Roman"/>
          <w:sz w:val="28"/>
          <w:szCs w:val="28"/>
          <w:lang w:val="en-GB"/>
        </w:rPr>
        <w:t>:</w:t>
      </w:r>
    </w:p>
    <w:p w14:paraId="11A3B83D" w14:textId="07C48638" w:rsidR="008B0B1A" w:rsidRDefault="008B0B1A" w:rsidP="003D4B27">
      <w:pPr>
        <w:rPr>
          <w:rFonts w:ascii="Times New Roman" w:hAnsi="Times New Roman" w:cs="Times New Roman"/>
          <w:sz w:val="28"/>
          <w:szCs w:val="28"/>
          <w:lang w:val="en-GB"/>
        </w:rPr>
      </w:pPr>
      <w:r w:rsidRPr="008B0B1A">
        <w:rPr>
          <w:rFonts w:ascii="Times New Roman" w:hAnsi="Times New Roman" w:cs="Times New Roman"/>
          <w:noProof/>
          <w:sz w:val="28"/>
          <w:szCs w:val="28"/>
          <w:lang w:val="en-GB"/>
        </w:rPr>
        <w:drawing>
          <wp:inline distT="0" distB="0" distL="0" distR="0" wp14:anchorId="05F65C27" wp14:editId="5739F83E">
            <wp:extent cx="3254022" cy="312447"/>
            <wp:effectExtent l="0" t="0" r="3810" b="0"/>
            <wp:docPr id="4575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7076" name=""/>
                    <pic:cNvPicPr/>
                  </pic:nvPicPr>
                  <pic:blipFill>
                    <a:blip r:embed="rId12"/>
                    <a:stretch>
                      <a:fillRect/>
                    </a:stretch>
                  </pic:blipFill>
                  <pic:spPr>
                    <a:xfrm>
                      <a:off x="0" y="0"/>
                      <a:ext cx="3254022" cy="312447"/>
                    </a:xfrm>
                    <a:prstGeom prst="rect">
                      <a:avLst/>
                    </a:prstGeom>
                  </pic:spPr>
                </pic:pic>
              </a:graphicData>
            </a:graphic>
          </wp:inline>
        </w:drawing>
      </w:r>
    </w:p>
    <w:p w14:paraId="1991DD68" w14:textId="0E91EB7A" w:rsidR="00977D01" w:rsidRPr="00F43C92" w:rsidRDefault="00977D01" w:rsidP="003D4B27">
      <w:pPr>
        <w:rPr>
          <w:rFonts w:ascii="Times New Roman" w:hAnsi="Times New Roman" w:cs="Times New Roman"/>
          <w:i/>
          <w:iCs/>
          <w:sz w:val="28"/>
          <w:szCs w:val="28"/>
          <w:lang w:val="en-GB"/>
        </w:rPr>
      </w:pPr>
      <w:proofErr w:type="spellStart"/>
      <w:r w:rsidRPr="00F43C92">
        <w:rPr>
          <w:rFonts w:ascii="Times New Roman" w:hAnsi="Times New Roman" w:cs="Times New Roman"/>
          <w:i/>
          <w:iCs/>
          <w:sz w:val="28"/>
          <w:szCs w:val="28"/>
          <w:lang w:val="en-GB"/>
        </w:rPr>
        <w:t>Δy</w:t>
      </w:r>
      <w:proofErr w:type="spellEnd"/>
      <w:r w:rsidRPr="00F43C92">
        <w:rPr>
          <w:rFonts w:ascii="Times New Roman" w:hAnsi="Times New Roman" w:cs="Times New Roman"/>
          <w:i/>
          <w:iCs/>
          <w:sz w:val="28"/>
          <w:szCs w:val="28"/>
          <w:lang w:val="en-GB"/>
        </w:rPr>
        <w:t>= percent change in the oil futures price for maturity f (ranging from 1 to 24 months) on day t.</w:t>
      </w:r>
    </w:p>
    <w:p w14:paraId="5204900E" w14:textId="1A048D75" w:rsidR="00977D01" w:rsidRPr="00F43C92" w:rsidRDefault="00977D01"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α= fixed effects for oil future f in month</w:t>
      </w:r>
      <w:commentRangeStart w:id="7"/>
      <w:r w:rsidRPr="00F43C92">
        <w:rPr>
          <w:rFonts w:ascii="Times New Roman" w:hAnsi="Times New Roman" w:cs="Times New Roman"/>
          <w:i/>
          <w:iCs/>
          <w:sz w:val="28"/>
          <w:szCs w:val="28"/>
          <w:lang w:val="en-GB"/>
        </w:rPr>
        <w:t>s</w:t>
      </w:r>
      <w:commentRangeEnd w:id="7"/>
      <w:r w:rsidR="00362947">
        <w:rPr>
          <w:rStyle w:val="CommentReference"/>
        </w:rPr>
        <w:commentReference w:id="7"/>
      </w:r>
      <w:r w:rsidRPr="00F43C92">
        <w:rPr>
          <w:rFonts w:ascii="Times New Roman" w:hAnsi="Times New Roman" w:cs="Times New Roman"/>
          <w:i/>
          <w:iCs/>
          <w:sz w:val="28"/>
          <w:szCs w:val="28"/>
          <w:lang w:val="en-GB"/>
        </w:rPr>
        <w:t>. This controls for unobserved factors affecting futures prices across different months and maturities.</w:t>
      </w:r>
    </w:p>
    <w:p w14:paraId="5E0FF181" w14:textId="6CA601AA" w:rsidR="00977D01" w:rsidRPr="00F43C92" w:rsidRDefault="00977D01" w:rsidP="003D4B27">
      <w:pPr>
        <w:tabs>
          <w:tab w:val="num" w:pos="720"/>
        </w:tabs>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β= the coefficient of interest that measures the impact of the spot price change on the future oil price for a given maturity f.</w:t>
      </w:r>
    </w:p>
    <w:p w14:paraId="300301AD" w14:textId="1788D777" w:rsidR="00977D01" w:rsidRPr="00F43C92" w:rsidRDefault="00977D01" w:rsidP="003D4B27">
      <w:pPr>
        <w:tabs>
          <w:tab w:val="num" w:pos="720"/>
        </w:tabs>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γ= the coefficient of interest that measures the impact of the change in the S&amp;P 500 index on future oil prices.</w:t>
      </w:r>
    </w:p>
    <w:p w14:paraId="639A1E85" w14:textId="25389ABF" w:rsidR="00977D01" w:rsidRPr="00F43C92" w:rsidRDefault="00977D01"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ϵ= the error term, which captures any unobserved or omitted factors affecting the oil futures prices for maturity f at time t.</w:t>
      </w:r>
    </w:p>
    <w:p w14:paraId="5691A9B5" w14:textId="51F5DF7F" w:rsidR="00ED0A1E" w:rsidRDefault="00977D01"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To improve this formula, they should have </w:t>
      </w:r>
      <w:r w:rsidR="00AB0542">
        <w:rPr>
          <w:rFonts w:ascii="Times New Roman" w:hAnsi="Times New Roman" w:cs="Times New Roman"/>
          <w:sz w:val="28"/>
          <w:szCs w:val="28"/>
          <w:lang w:val="en-GB"/>
        </w:rPr>
        <w:t>considered</w:t>
      </w:r>
      <w:r>
        <w:rPr>
          <w:rFonts w:ascii="Times New Roman" w:hAnsi="Times New Roman" w:cs="Times New Roman"/>
          <w:sz w:val="28"/>
          <w:szCs w:val="28"/>
          <w:lang w:val="en-GB"/>
        </w:rPr>
        <w:t xml:space="preserve"> that the effects of price changes of oil and </w:t>
      </w:r>
      <w:r w:rsidR="009C523F">
        <w:rPr>
          <w:rFonts w:ascii="Times New Roman" w:hAnsi="Times New Roman" w:cs="Times New Roman"/>
          <w:sz w:val="28"/>
          <w:szCs w:val="28"/>
          <w:lang w:val="en-GB"/>
        </w:rPr>
        <w:t xml:space="preserve">of the benchmark measure may have </w:t>
      </w:r>
      <w:commentRangeStart w:id="8"/>
      <w:r w:rsidR="009C523F">
        <w:rPr>
          <w:rFonts w:ascii="Times New Roman" w:hAnsi="Times New Roman" w:cs="Times New Roman"/>
          <w:sz w:val="28"/>
          <w:szCs w:val="28"/>
          <w:lang w:val="en-GB"/>
        </w:rPr>
        <w:t>a delayed impact on econom</w:t>
      </w:r>
      <w:r w:rsidR="00ED0A1E">
        <w:rPr>
          <w:rFonts w:ascii="Times New Roman" w:hAnsi="Times New Roman" w:cs="Times New Roman"/>
          <w:sz w:val="28"/>
          <w:szCs w:val="28"/>
          <w:lang w:val="en-GB"/>
        </w:rPr>
        <w:t>y</w:t>
      </w:r>
      <w:commentRangeEnd w:id="8"/>
      <w:r w:rsidR="00362947">
        <w:rPr>
          <w:rStyle w:val="CommentReference"/>
        </w:rPr>
        <w:commentReference w:id="8"/>
      </w:r>
      <w:r w:rsidR="00ED0A1E">
        <w:rPr>
          <w:rFonts w:ascii="Times New Roman" w:hAnsi="Times New Roman" w:cs="Times New Roman"/>
          <w:sz w:val="28"/>
          <w:szCs w:val="28"/>
          <w:lang w:val="en-GB"/>
        </w:rPr>
        <w:t>, hence</w:t>
      </w:r>
      <w:r w:rsidR="00AB0542">
        <w:rPr>
          <w:rFonts w:ascii="Times New Roman" w:hAnsi="Times New Roman" w:cs="Times New Roman"/>
          <w:sz w:val="28"/>
          <w:szCs w:val="28"/>
          <w:lang w:val="en-GB"/>
        </w:rPr>
        <w:t xml:space="preserve"> it’s more appropriate to include these effects by introducing </w:t>
      </w:r>
      <w:r w:rsidR="009C523F">
        <w:rPr>
          <w:rFonts w:ascii="Times New Roman" w:hAnsi="Times New Roman" w:cs="Times New Roman"/>
          <w:sz w:val="28"/>
          <w:szCs w:val="28"/>
          <w:lang w:val="en-GB"/>
        </w:rPr>
        <w:t>factors like</w:t>
      </w:r>
      <w:r w:rsidR="00ED0A1E">
        <w:rPr>
          <w:rFonts w:ascii="Times New Roman" w:hAnsi="Times New Roman" w:cs="Times New Roman"/>
          <w:sz w:val="28"/>
          <w:szCs w:val="28"/>
          <w:lang w:val="en-GB"/>
        </w:rPr>
        <w:t>:</w:t>
      </w:r>
    </w:p>
    <w:p w14:paraId="3334CC18" w14:textId="5F03D00E" w:rsidR="009C523F" w:rsidRPr="00F43C92" w:rsidRDefault="009C523F" w:rsidP="003D4B27">
      <w:pPr>
        <w:rPr>
          <w:rFonts w:ascii="Times New Roman" w:hAnsi="Times New Roman" w:cs="Times New Roman"/>
          <w:i/>
          <w:iCs/>
          <w:sz w:val="28"/>
          <w:szCs w:val="28"/>
          <w:vertAlign w:val="subscript"/>
          <w:lang w:val="en-GB"/>
        </w:rPr>
      </w:pPr>
      <w:r w:rsidRPr="00F43C92">
        <w:rPr>
          <w:rFonts w:ascii="Times New Roman" w:hAnsi="Times New Roman" w:cs="Times New Roman"/>
          <w:i/>
          <w:iCs/>
          <w:sz w:val="28"/>
          <w:szCs w:val="28"/>
          <w:lang w:val="en-GB"/>
        </w:rPr>
        <w:t>Δp</w:t>
      </w:r>
      <w:r w:rsidRPr="00F43C92">
        <w:rPr>
          <w:rFonts w:ascii="Times New Roman" w:hAnsi="Times New Roman" w:cs="Times New Roman"/>
          <w:i/>
          <w:iCs/>
          <w:sz w:val="28"/>
          <w:szCs w:val="28"/>
          <w:vertAlign w:val="subscript"/>
          <w:lang w:val="en-GB"/>
        </w:rPr>
        <w:t>t-1</w:t>
      </w:r>
      <w:r w:rsidRPr="00F43C92">
        <w:rPr>
          <w:rFonts w:ascii="Times New Roman" w:hAnsi="Times New Roman" w:cs="Times New Roman"/>
          <w:i/>
          <w:iCs/>
          <w:sz w:val="28"/>
          <w:szCs w:val="28"/>
          <w:lang w:val="en-GB"/>
        </w:rPr>
        <w:t>*</w:t>
      </w:r>
      <w:r w:rsidRPr="00F43C92">
        <w:rPr>
          <w:rFonts w:ascii="Times New Roman" w:hAnsi="Times New Roman" w:cs="Times New Roman"/>
          <w:i/>
          <w:iCs/>
          <w:sz w:val="28"/>
          <w:szCs w:val="28"/>
        </w:rPr>
        <w:t>δ</w:t>
      </w:r>
      <w:r w:rsidRPr="00F43C92">
        <w:rPr>
          <w:rFonts w:ascii="Times New Roman" w:hAnsi="Times New Roman" w:cs="Times New Roman"/>
          <w:i/>
          <w:iCs/>
          <w:sz w:val="28"/>
          <w:szCs w:val="28"/>
          <w:vertAlign w:val="subscript"/>
          <w:lang w:val="en-GB"/>
        </w:rPr>
        <w:t xml:space="preserve"> 1</w:t>
      </w:r>
    </w:p>
    <w:p w14:paraId="473BD169" w14:textId="64988764" w:rsidR="009C523F" w:rsidRPr="00F43C92" w:rsidRDefault="009C523F"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Δz</w:t>
      </w:r>
      <w:r w:rsidRPr="00F43C92">
        <w:rPr>
          <w:rFonts w:ascii="Times New Roman" w:hAnsi="Times New Roman" w:cs="Times New Roman"/>
          <w:i/>
          <w:iCs/>
          <w:sz w:val="28"/>
          <w:szCs w:val="28"/>
          <w:vertAlign w:val="subscript"/>
          <w:lang w:val="en-GB"/>
        </w:rPr>
        <w:t>t-1</w:t>
      </w:r>
      <w:r w:rsidRPr="00F43C92">
        <w:rPr>
          <w:rFonts w:ascii="Times New Roman" w:hAnsi="Times New Roman" w:cs="Times New Roman"/>
          <w:i/>
          <w:iCs/>
          <w:sz w:val="28"/>
          <w:szCs w:val="28"/>
          <w:lang w:val="en-GB"/>
        </w:rPr>
        <w:t>*</w:t>
      </w:r>
      <w:r w:rsidRPr="00F43C92">
        <w:rPr>
          <w:rFonts w:ascii="Times New Roman" w:hAnsi="Times New Roman" w:cs="Times New Roman"/>
          <w:i/>
          <w:iCs/>
          <w:sz w:val="28"/>
          <w:szCs w:val="28"/>
        </w:rPr>
        <w:t>δ</w:t>
      </w:r>
      <w:r w:rsidRPr="00F43C92">
        <w:rPr>
          <w:rFonts w:ascii="Times New Roman" w:hAnsi="Times New Roman" w:cs="Times New Roman"/>
          <w:i/>
          <w:iCs/>
          <w:sz w:val="28"/>
          <w:szCs w:val="28"/>
          <w:vertAlign w:val="subscript"/>
          <w:lang w:val="en-GB"/>
        </w:rPr>
        <w:t xml:space="preserve"> 2</w:t>
      </w:r>
    </w:p>
    <w:p w14:paraId="2B234CC9" w14:textId="00D42C3F" w:rsidR="009C523F" w:rsidRPr="009C523F" w:rsidRDefault="009C523F"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Where </w:t>
      </w:r>
      <w:r w:rsidRPr="00977D01">
        <w:rPr>
          <w:rFonts w:ascii="Times New Roman" w:hAnsi="Times New Roman" w:cs="Times New Roman"/>
          <w:sz w:val="28"/>
          <w:szCs w:val="28"/>
          <w:lang w:val="en-GB"/>
        </w:rPr>
        <w:t>Δ</w:t>
      </w:r>
      <w:r>
        <w:rPr>
          <w:rFonts w:ascii="Times New Roman" w:hAnsi="Times New Roman" w:cs="Times New Roman"/>
          <w:sz w:val="28"/>
          <w:szCs w:val="28"/>
          <w:lang w:val="en-GB"/>
        </w:rPr>
        <w:t>p</w:t>
      </w:r>
      <w:r>
        <w:rPr>
          <w:rFonts w:ascii="Times New Roman" w:hAnsi="Times New Roman" w:cs="Times New Roman"/>
          <w:sz w:val="28"/>
          <w:szCs w:val="28"/>
          <w:vertAlign w:val="subscript"/>
          <w:lang w:val="en-GB"/>
        </w:rPr>
        <w:t>t-1</w:t>
      </w:r>
      <w:r>
        <w:rPr>
          <w:rFonts w:ascii="Times New Roman" w:hAnsi="Times New Roman" w:cs="Times New Roman"/>
          <w:sz w:val="28"/>
          <w:szCs w:val="28"/>
          <w:lang w:val="en-GB"/>
        </w:rPr>
        <w:t>*</w:t>
      </w:r>
      <w:r w:rsidRPr="009C523F">
        <w:rPr>
          <w:rFonts w:ascii="Times New Roman" w:hAnsi="Times New Roman" w:cs="Times New Roman"/>
          <w:sz w:val="28"/>
          <w:szCs w:val="28"/>
          <w:lang w:val="en-GB"/>
        </w:rPr>
        <w:t xml:space="preserve"> </w:t>
      </w:r>
      <w:r w:rsidRPr="009C523F">
        <w:rPr>
          <w:rFonts w:ascii="Times New Roman" w:hAnsi="Times New Roman" w:cs="Times New Roman"/>
          <w:sz w:val="28"/>
          <w:szCs w:val="28"/>
        </w:rPr>
        <w:t>δ</w:t>
      </w:r>
      <w:r>
        <w:rPr>
          <w:rFonts w:ascii="Times New Roman" w:hAnsi="Times New Roman" w:cs="Times New Roman"/>
          <w:sz w:val="28"/>
          <w:szCs w:val="28"/>
          <w:vertAlign w:val="subscript"/>
          <w:lang w:val="en-GB"/>
        </w:rPr>
        <w:t xml:space="preserve"> 1</w:t>
      </w:r>
      <w:r>
        <w:rPr>
          <w:rFonts w:ascii="Times New Roman" w:hAnsi="Times New Roman" w:cs="Times New Roman"/>
          <w:sz w:val="28"/>
          <w:szCs w:val="28"/>
          <w:lang w:val="en-GB"/>
        </w:rPr>
        <w:t xml:space="preserve"> is the </w:t>
      </w:r>
      <w:r w:rsidRPr="009C523F">
        <w:rPr>
          <w:rFonts w:ascii="Times New Roman" w:hAnsi="Times New Roman" w:cs="Times New Roman"/>
          <w:sz w:val="28"/>
          <w:szCs w:val="28"/>
          <w:lang w:val="en-GB"/>
        </w:rPr>
        <w:t xml:space="preserve">percent change in the spot oil price at time </w:t>
      </w:r>
      <w:r w:rsidR="00AB0542">
        <w:rPr>
          <w:rFonts w:ascii="Times New Roman" w:hAnsi="Times New Roman" w:cs="Times New Roman"/>
          <w:sz w:val="28"/>
          <w:szCs w:val="28"/>
          <w:lang w:val="en-GB"/>
        </w:rPr>
        <w:t>(</w:t>
      </w:r>
      <w:r w:rsidRPr="009C523F">
        <w:rPr>
          <w:rFonts w:ascii="Times New Roman" w:hAnsi="Times New Roman" w:cs="Times New Roman"/>
          <w:sz w:val="28"/>
          <w:szCs w:val="28"/>
          <w:lang w:val="en-GB"/>
        </w:rPr>
        <w:t>t−1</w:t>
      </w:r>
      <w:r w:rsidR="00AB0542">
        <w:rPr>
          <w:rFonts w:ascii="Times New Roman" w:hAnsi="Times New Roman" w:cs="Times New Roman"/>
          <w:sz w:val="28"/>
          <w:szCs w:val="28"/>
          <w:lang w:val="en-GB"/>
        </w:rPr>
        <w:t>)</w:t>
      </w:r>
      <w:r>
        <w:rPr>
          <w:rFonts w:ascii="Times New Roman" w:hAnsi="Times New Roman" w:cs="Times New Roman"/>
          <w:sz w:val="28"/>
          <w:szCs w:val="28"/>
          <w:lang w:val="en-GB"/>
        </w:rPr>
        <w:t xml:space="preserve"> multiplied by t</w:t>
      </w:r>
      <w:r w:rsidRPr="009C523F">
        <w:rPr>
          <w:rFonts w:ascii="Times New Roman" w:hAnsi="Times New Roman" w:cs="Times New Roman"/>
          <w:sz w:val="28"/>
          <w:szCs w:val="28"/>
          <w:lang w:val="en-GB"/>
        </w:rPr>
        <w:t xml:space="preserve">he coefficient that measures the impact of the lagged spot price change on the current oil futures price and </w:t>
      </w:r>
      <w:r w:rsidRPr="00977D01">
        <w:rPr>
          <w:rFonts w:ascii="Times New Roman" w:hAnsi="Times New Roman" w:cs="Times New Roman"/>
          <w:sz w:val="28"/>
          <w:szCs w:val="28"/>
          <w:lang w:val="en-GB"/>
        </w:rPr>
        <w:t>Δ</w:t>
      </w:r>
      <w:r w:rsidRPr="009C523F">
        <w:rPr>
          <w:rFonts w:ascii="Times New Roman" w:hAnsi="Times New Roman" w:cs="Times New Roman"/>
          <w:sz w:val="28"/>
          <w:szCs w:val="28"/>
          <w:lang w:val="en-GB"/>
        </w:rPr>
        <w:t>z</w:t>
      </w:r>
      <w:r w:rsidRPr="009C523F">
        <w:rPr>
          <w:rFonts w:ascii="Times New Roman" w:hAnsi="Times New Roman" w:cs="Times New Roman"/>
          <w:sz w:val="28"/>
          <w:szCs w:val="28"/>
          <w:vertAlign w:val="subscript"/>
          <w:lang w:val="en-GB"/>
        </w:rPr>
        <w:t>t-1</w:t>
      </w:r>
      <w:r w:rsidRPr="009C523F">
        <w:rPr>
          <w:rFonts w:ascii="Times New Roman" w:hAnsi="Times New Roman" w:cs="Times New Roman"/>
          <w:sz w:val="28"/>
          <w:szCs w:val="28"/>
          <w:lang w:val="en-GB"/>
        </w:rPr>
        <w:t xml:space="preserve">* </w:t>
      </w:r>
      <w:r w:rsidRPr="009C523F">
        <w:rPr>
          <w:rFonts w:ascii="Times New Roman" w:hAnsi="Times New Roman" w:cs="Times New Roman"/>
          <w:sz w:val="28"/>
          <w:szCs w:val="28"/>
        </w:rPr>
        <w:t>δ</w:t>
      </w:r>
      <w:r w:rsidRPr="009C523F">
        <w:rPr>
          <w:rFonts w:ascii="Times New Roman" w:hAnsi="Times New Roman" w:cs="Times New Roman"/>
          <w:sz w:val="28"/>
          <w:szCs w:val="28"/>
          <w:vertAlign w:val="subscript"/>
          <w:lang w:val="en-GB"/>
        </w:rPr>
        <w:t xml:space="preserve"> 2</w:t>
      </w:r>
      <w:r w:rsidRPr="009C523F">
        <w:rPr>
          <w:rFonts w:ascii="Times New Roman" w:hAnsi="Times New Roman" w:cs="Times New Roman"/>
          <w:sz w:val="28"/>
          <w:szCs w:val="28"/>
          <w:lang w:val="en-GB"/>
        </w:rPr>
        <w:t xml:space="preserve"> represents the percent change in the S&amp;P 500 index from the previous period </w:t>
      </w:r>
      <w:r w:rsidR="00AB0542">
        <w:rPr>
          <w:rFonts w:ascii="Times New Roman" w:hAnsi="Times New Roman" w:cs="Times New Roman"/>
          <w:sz w:val="28"/>
          <w:szCs w:val="28"/>
          <w:lang w:val="en-GB"/>
        </w:rPr>
        <w:t>(</w:t>
      </w:r>
      <w:r w:rsidRPr="009C523F">
        <w:rPr>
          <w:rFonts w:ascii="Times New Roman" w:hAnsi="Times New Roman" w:cs="Times New Roman"/>
          <w:sz w:val="28"/>
          <w:szCs w:val="28"/>
          <w:lang w:val="en-GB"/>
        </w:rPr>
        <w:t>t−1</w:t>
      </w:r>
      <w:r w:rsidR="00AB0542">
        <w:rPr>
          <w:rFonts w:ascii="Times New Roman" w:hAnsi="Times New Roman" w:cs="Times New Roman"/>
          <w:sz w:val="28"/>
          <w:szCs w:val="28"/>
          <w:lang w:val="en-GB"/>
        </w:rPr>
        <w:t>)</w:t>
      </w:r>
      <w:r w:rsidRPr="009C523F">
        <w:rPr>
          <w:rFonts w:ascii="Times New Roman" w:hAnsi="Times New Roman" w:cs="Times New Roman"/>
          <w:sz w:val="28"/>
          <w:szCs w:val="28"/>
          <w:lang w:val="en-GB"/>
        </w:rPr>
        <w:t xml:space="preserve"> multiplied by​ is the coefficient that measures the impact of the lagged change in the S&amp;P 500 on current oil futures prices.</w:t>
      </w:r>
    </w:p>
    <w:p w14:paraId="3BF1D9E8" w14:textId="39F96B34" w:rsidR="009C523F" w:rsidRDefault="009C523F" w:rsidP="003D4B27">
      <w:pPr>
        <w:rPr>
          <w:rFonts w:ascii="Times New Roman" w:hAnsi="Times New Roman" w:cs="Times New Roman"/>
          <w:sz w:val="28"/>
          <w:szCs w:val="28"/>
          <w:lang w:val="en-GB"/>
        </w:rPr>
      </w:pPr>
      <w:r>
        <w:rPr>
          <w:rFonts w:ascii="Times New Roman" w:hAnsi="Times New Roman" w:cs="Times New Roman"/>
          <w:sz w:val="28"/>
          <w:szCs w:val="28"/>
          <w:lang w:val="en-GB"/>
        </w:rPr>
        <w:t>The improved formula would become:</w:t>
      </w:r>
    </w:p>
    <w:p w14:paraId="7F925194" w14:textId="0859D0AF" w:rsidR="009C523F" w:rsidRDefault="009C523F" w:rsidP="003D4B27">
      <w:pPr>
        <w:rPr>
          <w:rFonts w:ascii="Times New Roman" w:hAnsi="Times New Roman" w:cs="Times New Roman"/>
          <w:sz w:val="28"/>
          <w:szCs w:val="28"/>
          <w:lang w:val="en-GB"/>
        </w:rPr>
      </w:pPr>
      <w:r w:rsidRPr="009C523F">
        <w:rPr>
          <w:rFonts w:ascii="Times New Roman" w:hAnsi="Times New Roman" w:cs="Times New Roman"/>
          <w:noProof/>
          <w:sz w:val="28"/>
          <w:szCs w:val="28"/>
          <w:lang w:val="en-GB"/>
        </w:rPr>
        <w:lastRenderedPageBreak/>
        <w:drawing>
          <wp:inline distT="0" distB="0" distL="0" distR="0" wp14:anchorId="78A77E05" wp14:editId="4C9A8BB6">
            <wp:extent cx="4701947" cy="358171"/>
            <wp:effectExtent l="0" t="0" r="3810" b="3810"/>
            <wp:docPr id="11250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0070" name=""/>
                    <pic:cNvPicPr/>
                  </pic:nvPicPr>
                  <pic:blipFill>
                    <a:blip r:embed="rId13"/>
                    <a:stretch>
                      <a:fillRect/>
                    </a:stretch>
                  </pic:blipFill>
                  <pic:spPr>
                    <a:xfrm>
                      <a:off x="0" y="0"/>
                      <a:ext cx="4701947" cy="358171"/>
                    </a:xfrm>
                    <a:prstGeom prst="rect">
                      <a:avLst/>
                    </a:prstGeom>
                  </pic:spPr>
                </pic:pic>
              </a:graphicData>
            </a:graphic>
          </wp:inline>
        </w:drawing>
      </w:r>
    </w:p>
    <w:p w14:paraId="76044004" w14:textId="61C3CF4E" w:rsidR="00F44546" w:rsidRDefault="00F44546" w:rsidP="003D4B27">
      <w:pPr>
        <w:rPr>
          <w:rFonts w:ascii="Times New Roman" w:hAnsi="Times New Roman" w:cs="Times New Roman"/>
          <w:sz w:val="28"/>
          <w:szCs w:val="28"/>
          <w:lang w:val="en-GB"/>
        </w:rPr>
      </w:pPr>
      <w:commentRangeStart w:id="9"/>
      <w:r>
        <w:rPr>
          <w:rFonts w:ascii="Times New Roman" w:hAnsi="Times New Roman" w:cs="Times New Roman"/>
          <w:sz w:val="28"/>
          <w:szCs w:val="28"/>
          <w:lang w:val="en-GB"/>
        </w:rPr>
        <w:t>Another improvement for the regression formula could be the integration of the interest rates in the computations of the external factors, since the S&amp;P500 index may be not sufficient to capture the other macroeconomic variables</w:t>
      </w:r>
      <w:commentRangeEnd w:id="9"/>
      <w:r w:rsidR="00B91D23">
        <w:rPr>
          <w:rStyle w:val="CommentReference"/>
        </w:rPr>
        <w:commentReference w:id="9"/>
      </w:r>
      <w:r w:rsidR="00DB2D88">
        <w:rPr>
          <w:rFonts w:ascii="Times New Roman" w:hAnsi="Times New Roman" w:cs="Times New Roman"/>
          <w:sz w:val="28"/>
          <w:szCs w:val="28"/>
          <w:lang w:val="en-GB"/>
        </w:rPr>
        <w:t xml:space="preserve"> and </w:t>
      </w:r>
      <w:r w:rsidR="00AB0542">
        <w:rPr>
          <w:rFonts w:ascii="Times New Roman" w:hAnsi="Times New Roman" w:cs="Times New Roman"/>
          <w:sz w:val="28"/>
          <w:szCs w:val="28"/>
          <w:lang w:val="en-GB"/>
        </w:rPr>
        <w:t>since</w:t>
      </w:r>
      <w:r w:rsidR="00DB2D88">
        <w:rPr>
          <w:rFonts w:ascii="Times New Roman" w:hAnsi="Times New Roman" w:cs="Times New Roman"/>
          <w:sz w:val="28"/>
          <w:szCs w:val="28"/>
          <w:lang w:val="en-GB"/>
        </w:rPr>
        <w:t xml:space="preserve"> </w:t>
      </w:r>
      <w:r>
        <w:rPr>
          <w:rFonts w:ascii="Times New Roman" w:hAnsi="Times New Roman" w:cs="Times New Roman"/>
          <w:sz w:val="28"/>
          <w:szCs w:val="28"/>
          <w:lang w:val="en-GB"/>
        </w:rPr>
        <w:t>in the Hotelling model the extraction rate equals the interest rate</w:t>
      </w:r>
      <w:r w:rsidR="00AB0542">
        <w:rPr>
          <w:rFonts w:ascii="Times New Roman" w:hAnsi="Times New Roman" w:cs="Times New Roman"/>
          <w:sz w:val="28"/>
          <w:szCs w:val="28"/>
          <w:lang w:val="en-GB"/>
        </w:rPr>
        <w:t>, being a crucial macroeconomic factor.</w:t>
      </w:r>
    </w:p>
    <w:p w14:paraId="5EA3B0F6" w14:textId="7E191C38" w:rsidR="00DB2D88" w:rsidRPr="009C523F" w:rsidRDefault="00DB2D88" w:rsidP="003D4B27">
      <w:pPr>
        <w:rPr>
          <w:rFonts w:ascii="Times New Roman" w:hAnsi="Times New Roman" w:cs="Times New Roman"/>
          <w:sz w:val="28"/>
          <w:szCs w:val="28"/>
          <w:lang w:val="en-GB"/>
        </w:rPr>
      </w:pPr>
      <w:r w:rsidRPr="00DB2D88">
        <w:rPr>
          <w:rFonts w:ascii="Times New Roman" w:hAnsi="Times New Roman" w:cs="Times New Roman"/>
          <w:noProof/>
          <w:sz w:val="28"/>
          <w:szCs w:val="28"/>
          <w:lang w:val="en-GB"/>
        </w:rPr>
        <w:drawing>
          <wp:inline distT="0" distB="0" distL="0" distR="0" wp14:anchorId="245C7E91" wp14:editId="7321944E">
            <wp:extent cx="5731510" cy="278765"/>
            <wp:effectExtent l="0" t="0" r="2540" b="6985"/>
            <wp:docPr id="1221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434" name=""/>
                    <pic:cNvPicPr/>
                  </pic:nvPicPr>
                  <pic:blipFill>
                    <a:blip r:embed="rId14"/>
                    <a:stretch>
                      <a:fillRect/>
                    </a:stretch>
                  </pic:blipFill>
                  <pic:spPr>
                    <a:xfrm>
                      <a:off x="0" y="0"/>
                      <a:ext cx="5731510" cy="278765"/>
                    </a:xfrm>
                    <a:prstGeom prst="rect">
                      <a:avLst/>
                    </a:prstGeom>
                  </pic:spPr>
                </pic:pic>
              </a:graphicData>
            </a:graphic>
          </wp:inline>
        </w:drawing>
      </w:r>
    </w:p>
    <w:p w14:paraId="184F2E3A" w14:textId="1DF5E02C" w:rsidR="004E2D58" w:rsidRDefault="00DB2D88"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This can be the revised formula </w:t>
      </w:r>
      <w:r w:rsidRPr="00DB2D88">
        <w:rPr>
          <w:rFonts w:ascii="Times New Roman" w:hAnsi="Times New Roman" w:cs="Times New Roman"/>
          <w:sz w:val="28"/>
          <w:szCs w:val="28"/>
          <w:lang w:val="en-GB"/>
        </w:rPr>
        <w:t>with</w:t>
      </w:r>
      <w:r>
        <w:rPr>
          <w:rFonts w:ascii="Times New Roman" w:hAnsi="Times New Roman" w:cs="Times New Roman"/>
          <w:sz w:val="28"/>
          <w:szCs w:val="28"/>
          <w:lang w:val="en-GB"/>
        </w:rPr>
        <w:t xml:space="preserve"> ρ*</w:t>
      </w:r>
      <w:proofErr w:type="spellStart"/>
      <w:r w:rsidRPr="00977D01">
        <w:rPr>
          <w:rFonts w:ascii="Times New Roman" w:hAnsi="Times New Roman" w:cs="Times New Roman"/>
          <w:sz w:val="28"/>
          <w:szCs w:val="28"/>
          <w:lang w:val="en-GB"/>
        </w:rPr>
        <w:t>Δ</w:t>
      </w:r>
      <w:r w:rsidRPr="00DB2D88">
        <w:rPr>
          <w:rFonts w:ascii="Times New Roman" w:hAnsi="Times New Roman" w:cs="Times New Roman"/>
          <w:sz w:val="28"/>
          <w:szCs w:val="28"/>
          <w:lang w:val="en-GB"/>
        </w:rPr>
        <w:t>r</w:t>
      </w:r>
      <w:proofErr w:type="spellEnd"/>
      <w:r w:rsidRPr="00DB2D88">
        <w:rPr>
          <w:rFonts w:ascii="Times New Roman" w:hAnsi="Times New Roman" w:cs="Times New Roman"/>
          <w:sz w:val="28"/>
          <w:szCs w:val="28"/>
          <w:lang w:val="en-GB"/>
        </w:rPr>
        <w:t xml:space="preserve"> and </w:t>
      </w:r>
      <w:r>
        <w:rPr>
          <w:rFonts w:ascii="Times New Roman" w:hAnsi="Times New Roman" w:cs="Times New Roman"/>
          <w:sz w:val="28"/>
          <w:szCs w:val="28"/>
          <w:lang w:val="en-GB"/>
        </w:rPr>
        <w:t>δ</w:t>
      </w:r>
      <w:r w:rsidR="0085152B">
        <w:rPr>
          <w:rFonts w:ascii="Times New Roman" w:hAnsi="Times New Roman" w:cs="Times New Roman"/>
          <w:sz w:val="28"/>
          <w:szCs w:val="28"/>
          <w:vertAlign w:val="subscript"/>
          <w:lang w:val="en-GB"/>
        </w:rPr>
        <w:t>3</w:t>
      </w:r>
      <w:r>
        <w:rPr>
          <w:rFonts w:ascii="Times New Roman" w:hAnsi="Times New Roman" w:cs="Times New Roman"/>
          <w:sz w:val="28"/>
          <w:szCs w:val="28"/>
          <w:lang w:val="en-GB"/>
        </w:rPr>
        <w:t>*</w:t>
      </w:r>
      <w:r w:rsidRPr="00977D01">
        <w:rPr>
          <w:rFonts w:ascii="Times New Roman" w:hAnsi="Times New Roman" w:cs="Times New Roman"/>
          <w:sz w:val="28"/>
          <w:szCs w:val="28"/>
          <w:lang w:val="en-GB"/>
        </w:rPr>
        <w:t>Δ</w:t>
      </w:r>
      <w:r w:rsidRPr="00DB2D88">
        <w:rPr>
          <w:rFonts w:ascii="Times New Roman" w:hAnsi="Times New Roman" w:cs="Times New Roman"/>
          <w:sz w:val="28"/>
          <w:szCs w:val="28"/>
          <w:lang w:val="en-GB"/>
        </w:rPr>
        <w:t>r</w:t>
      </w:r>
      <w:r w:rsidRPr="00DB2D88">
        <w:rPr>
          <w:rFonts w:ascii="Times New Roman" w:hAnsi="Times New Roman" w:cs="Times New Roman"/>
          <w:sz w:val="28"/>
          <w:szCs w:val="28"/>
          <w:vertAlign w:val="subscript"/>
          <w:lang w:val="en-GB"/>
        </w:rPr>
        <w:t>t</w:t>
      </w:r>
      <w:r>
        <w:rPr>
          <w:rFonts w:ascii="Times New Roman" w:hAnsi="Times New Roman" w:cs="Times New Roman"/>
          <w:sz w:val="28"/>
          <w:szCs w:val="28"/>
          <w:vertAlign w:val="subscript"/>
          <w:lang w:val="en-GB"/>
        </w:rPr>
        <w:t xml:space="preserve">-1, </w:t>
      </w:r>
      <w:r w:rsidRPr="00DB2D88">
        <w:rPr>
          <w:rFonts w:ascii="Times New Roman" w:hAnsi="Times New Roman" w:cs="Times New Roman"/>
          <w:sz w:val="28"/>
          <w:szCs w:val="28"/>
          <w:lang w:val="en-GB"/>
        </w:rPr>
        <w:t>which are respectively</w:t>
      </w:r>
      <w:r>
        <w:rPr>
          <w:rFonts w:ascii="Times New Roman" w:hAnsi="Times New Roman" w:cs="Times New Roman"/>
          <w:sz w:val="28"/>
          <w:szCs w:val="28"/>
          <w:vertAlign w:val="subscript"/>
          <w:lang w:val="en-GB"/>
        </w:rPr>
        <w:t xml:space="preserve"> </w:t>
      </w:r>
      <w:r>
        <w:rPr>
          <w:rFonts w:ascii="Times New Roman" w:hAnsi="Times New Roman" w:cs="Times New Roman"/>
          <w:sz w:val="28"/>
          <w:szCs w:val="28"/>
          <w:lang w:val="en-GB"/>
        </w:rPr>
        <w:t>the c</w:t>
      </w:r>
      <w:r w:rsidRPr="00DB2D88">
        <w:rPr>
          <w:rFonts w:ascii="Times New Roman" w:hAnsi="Times New Roman" w:cs="Times New Roman"/>
          <w:sz w:val="28"/>
          <w:szCs w:val="28"/>
          <w:lang w:val="en-GB"/>
        </w:rPr>
        <w:t>oefficient</w:t>
      </w:r>
      <w:r w:rsidR="0085152B">
        <w:rPr>
          <w:rFonts w:ascii="Times New Roman" w:hAnsi="Times New Roman" w:cs="Times New Roman"/>
          <w:sz w:val="28"/>
          <w:szCs w:val="28"/>
          <w:lang w:val="en-GB"/>
        </w:rPr>
        <w:t>s</w:t>
      </w:r>
      <w:r w:rsidRPr="00DB2D88">
        <w:rPr>
          <w:rFonts w:ascii="Times New Roman" w:hAnsi="Times New Roman" w:cs="Times New Roman"/>
          <w:sz w:val="28"/>
          <w:szCs w:val="28"/>
          <w:lang w:val="en-GB"/>
        </w:rPr>
        <w:t xml:space="preserve"> for the effect of interest rate</w:t>
      </w:r>
      <w:r w:rsidR="0085152B">
        <w:rPr>
          <w:rFonts w:ascii="Times New Roman" w:hAnsi="Times New Roman" w:cs="Times New Roman"/>
          <w:sz w:val="28"/>
          <w:szCs w:val="28"/>
          <w:lang w:val="en-GB"/>
        </w:rPr>
        <w:t xml:space="preserve"> at time t and (t-1)</w:t>
      </w:r>
      <w:r w:rsidRPr="00DB2D88">
        <w:rPr>
          <w:rFonts w:ascii="Times New Roman" w:hAnsi="Times New Roman" w:cs="Times New Roman"/>
          <w:sz w:val="28"/>
          <w:szCs w:val="28"/>
          <w:lang w:val="en-GB"/>
        </w:rPr>
        <w:t xml:space="preserve"> </w:t>
      </w:r>
      <w:r w:rsidR="0085152B">
        <w:rPr>
          <w:rFonts w:ascii="Times New Roman" w:hAnsi="Times New Roman" w:cs="Times New Roman"/>
          <w:sz w:val="28"/>
          <w:szCs w:val="28"/>
          <w:lang w:val="en-GB"/>
        </w:rPr>
        <w:t xml:space="preserve">related to </w:t>
      </w:r>
      <w:r w:rsidRPr="00DB2D88">
        <w:rPr>
          <w:rFonts w:ascii="Times New Roman" w:hAnsi="Times New Roman" w:cs="Times New Roman"/>
          <w:sz w:val="28"/>
          <w:szCs w:val="28"/>
          <w:lang w:val="en-GB"/>
        </w:rPr>
        <w:t>changes on futures prices</w:t>
      </w:r>
      <w:r>
        <w:rPr>
          <w:rFonts w:ascii="Times New Roman" w:hAnsi="Times New Roman" w:cs="Times New Roman"/>
          <w:sz w:val="28"/>
          <w:szCs w:val="28"/>
          <w:lang w:val="en-GB"/>
        </w:rPr>
        <w:t xml:space="preserve"> multiplied by </w:t>
      </w:r>
      <w:r w:rsidR="0085152B">
        <w:rPr>
          <w:rFonts w:ascii="Times New Roman" w:hAnsi="Times New Roman" w:cs="Times New Roman"/>
          <w:sz w:val="28"/>
          <w:szCs w:val="28"/>
          <w:lang w:val="en-GB"/>
        </w:rPr>
        <w:t>the c</w:t>
      </w:r>
      <w:r w:rsidRPr="00DB2D88">
        <w:rPr>
          <w:rFonts w:ascii="Times New Roman" w:hAnsi="Times New Roman" w:cs="Times New Roman"/>
          <w:sz w:val="28"/>
          <w:szCs w:val="28"/>
          <w:lang w:val="en-GB"/>
        </w:rPr>
        <w:t>hange in the interest rate at time t</w:t>
      </w:r>
      <w:r w:rsidR="0085152B">
        <w:rPr>
          <w:rFonts w:ascii="Times New Roman" w:hAnsi="Times New Roman" w:cs="Times New Roman"/>
          <w:sz w:val="28"/>
          <w:szCs w:val="28"/>
          <w:lang w:val="en-GB"/>
        </w:rPr>
        <w:t xml:space="preserve"> and (t-1).</w:t>
      </w:r>
    </w:p>
    <w:p w14:paraId="7AD7DDBA" w14:textId="77777777" w:rsidR="00F149E2" w:rsidRDefault="00F149E2" w:rsidP="003D4B27">
      <w:pPr>
        <w:rPr>
          <w:rFonts w:ascii="Times New Roman" w:hAnsi="Times New Roman" w:cs="Times New Roman"/>
          <w:sz w:val="28"/>
          <w:szCs w:val="28"/>
          <w:lang w:val="en-GB"/>
        </w:rPr>
      </w:pPr>
    </w:p>
    <w:p w14:paraId="3BCC27D2" w14:textId="75B019FB" w:rsidR="00F149E2" w:rsidRDefault="00353AF7" w:rsidP="003D4B27">
      <w:pPr>
        <w:rPr>
          <w:rFonts w:ascii="Times New Roman" w:hAnsi="Times New Roman" w:cs="Times New Roman"/>
          <w:sz w:val="28"/>
          <w:szCs w:val="28"/>
          <w:lang w:val="en-GB"/>
        </w:rPr>
      </w:pPr>
      <w:r>
        <w:rPr>
          <w:rFonts w:ascii="Times New Roman" w:hAnsi="Times New Roman" w:cs="Times New Roman"/>
          <w:sz w:val="28"/>
          <w:szCs w:val="28"/>
          <w:lang w:val="en-GB"/>
        </w:rPr>
        <w:t>T</w:t>
      </w:r>
      <w:r w:rsidR="00F149E2">
        <w:rPr>
          <w:rFonts w:ascii="Times New Roman" w:hAnsi="Times New Roman" w:cs="Times New Roman"/>
          <w:sz w:val="28"/>
          <w:szCs w:val="28"/>
          <w:lang w:val="en-GB"/>
        </w:rPr>
        <w:t>he second regression equation presented, which is:</w:t>
      </w:r>
    </w:p>
    <w:p w14:paraId="2CE4890B" w14:textId="1A1E688F" w:rsidR="00F149E2" w:rsidRDefault="001F0683" w:rsidP="003D4B27">
      <w:pPr>
        <w:rPr>
          <w:rFonts w:ascii="Times New Roman" w:hAnsi="Times New Roman" w:cs="Times New Roman"/>
          <w:sz w:val="28"/>
          <w:szCs w:val="28"/>
          <w:lang w:val="en-GB"/>
        </w:rPr>
      </w:pPr>
      <w:r w:rsidRPr="001F0683">
        <w:rPr>
          <w:rFonts w:ascii="Times New Roman" w:hAnsi="Times New Roman" w:cs="Times New Roman"/>
          <w:noProof/>
          <w:sz w:val="28"/>
          <w:szCs w:val="28"/>
          <w:lang w:val="en-GB"/>
        </w:rPr>
        <w:drawing>
          <wp:inline distT="0" distB="0" distL="0" distR="0" wp14:anchorId="1B9DF38B" wp14:editId="1594DAD0">
            <wp:extent cx="3558848" cy="274344"/>
            <wp:effectExtent l="0" t="0" r="3810" b="0"/>
            <wp:docPr id="196570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4046" name=""/>
                    <pic:cNvPicPr/>
                  </pic:nvPicPr>
                  <pic:blipFill>
                    <a:blip r:embed="rId15"/>
                    <a:stretch>
                      <a:fillRect/>
                    </a:stretch>
                  </pic:blipFill>
                  <pic:spPr>
                    <a:xfrm>
                      <a:off x="0" y="0"/>
                      <a:ext cx="3558848" cy="274344"/>
                    </a:xfrm>
                    <a:prstGeom prst="rect">
                      <a:avLst/>
                    </a:prstGeom>
                  </pic:spPr>
                </pic:pic>
              </a:graphicData>
            </a:graphic>
          </wp:inline>
        </w:drawing>
      </w:r>
    </w:p>
    <w:p w14:paraId="4247A695" w14:textId="2DCE55BD" w:rsidR="001F0683" w:rsidRPr="00F43C92" w:rsidRDefault="001F0683" w:rsidP="003D4B27">
      <w:pPr>
        <w:rPr>
          <w:rFonts w:ascii="Times New Roman" w:hAnsi="Times New Roman" w:cs="Times New Roman"/>
          <w:i/>
          <w:iCs/>
          <w:sz w:val="28"/>
          <w:szCs w:val="28"/>
          <w:lang w:val="en-GB"/>
        </w:rPr>
      </w:pPr>
      <w:proofErr w:type="spellStart"/>
      <w:r w:rsidRPr="00F43C92">
        <w:rPr>
          <w:rFonts w:ascii="Times New Roman" w:hAnsi="Times New Roman" w:cs="Times New Roman"/>
          <w:i/>
          <w:iCs/>
          <w:sz w:val="28"/>
          <w:szCs w:val="28"/>
          <w:lang w:val="en-GB"/>
        </w:rPr>
        <w:t>Δy</w:t>
      </w:r>
      <w:proofErr w:type="spellEnd"/>
      <w:r w:rsidRPr="00F43C92">
        <w:rPr>
          <w:rFonts w:ascii="Times New Roman" w:hAnsi="Times New Roman" w:cs="Times New Roman"/>
          <w:i/>
          <w:iCs/>
          <w:sz w:val="28"/>
          <w:szCs w:val="28"/>
          <w:lang w:val="en-GB"/>
        </w:rPr>
        <w:t>= the percent change in the oil futures price at the end of month m, relative to the end of month (m−1), for the oil future with a maturity f=1 to 24.</w:t>
      </w:r>
    </w:p>
    <w:p w14:paraId="51CE72E7" w14:textId="0D9475A5" w:rsidR="001F0683" w:rsidRPr="00F43C92" w:rsidRDefault="001F0683"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I=standardized measure of international climate negotiation salience at month m.</w:t>
      </w:r>
    </w:p>
    <w:p w14:paraId="781ADA69" w14:textId="7D0686C5" w:rsidR="001F0683" w:rsidRPr="00F43C92" w:rsidRDefault="001F0683"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R=standardized measure of renewable energy policy salience at month m.</w:t>
      </w:r>
    </w:p>
    <w:p w14:paraId="3939EDD3" w14:textId="5B3D5DE5" w:rsidR="001F0683" w:rsidRPr="00F43C92" w:rsidRDefault="001F0683"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E: standardized measure of general environmental policy salience at month m (control or placebo).</w:t>
      </w:r>
    </w:p>
    <w:p w14:paraId="472A73FA" w14:textId="77777777" w:rsidR="00DC433F" w:rsidRPr="00F43C92" w:rsidRDefault="001F0683" w:rsidP="003D4B27">
      <w:pPr>
        <w:rPr>
          <w:rFonts w:ascii="Times New Roman" w:hAnsi="Times New Roman" w:cs="Times New Roman"/>
          <w:i/>
          <w:iCs/>
          <w:sz w:val="28"/>
          <w:szCs w:val="28"/>
          <w:lang w:val="en-GB"/>
        </w:rPr>
      </w:pPr>
      <w:proofErr w:type="spellStart"/>
      <w:r w:rsidRPr="00F43C92">
        <w:rPr>
          <w:rFonts w:ascii="Times New Roman" w:hAnsi="Times New Roman" w:cs="Times New Roman"/>
          <w:i/>
          <w:iCs/>
          <w:sz w:val="28"/>
          <w:szCs w:val="28"/>
          <w:lang w:val="en-GB"/>
        </w:rPr>
        <w:t>Δz</w:t>
      </w:r>
      <w:proofErr w:type="spellEnd"/>
      <w:r w:rsidRPr="00F43C92">
        <w:rPr>
          <w:rFonts w:ascii="Times New Roman" w:hAnsi="Times New Roman" w:cs="Times New Roman"/>
          <w:i/>
          <w:iCs/>
          <w:sz w:val="28"/>
          <w:szCs w:val="28"/>
          <w:lang w:val="en-GB"/>
        </w:rPr>
        <w:t xml:space="preserve">​: </w:t>
      </w:r>
      <w:r w:rsidR="00DC433F" w:rsidRPr="00F43C92">
        <w:rPr>
          <w:rFonts w:ascii="Times New Roman" w:hAnsi="Times New Roman" w:cs="Times New Roman"/>
          <w:i/>
          <w:iCs/>
          <w:sz w:val="28"/>
          <w:szCs w:val="28"/>
          <w:lang w:val="en-GB"/>
        </w:rPr>
        <w:t>t</w:t>
      </w:r>
      <w:r w:rsidRPr="00F43C92">
        <w:rPr>
          <w:rFonts w:ascii="Times New Roman" w:hAnsi="Times New Roman" w:cs="Times New Roman"/>
          <w:i/>
          <w:iCs/>
          <w:sz w:val="28"/>
          <w:szCs w:val="28"/>
          <w:lang w:val="en-GB"/>
        </w:rPr>
        <w:t>he percent change in the S&amp;P 500 index at the end of month m, representing broader economic conditions.</w:t>
      </w:r>
    </w:p>
    <w:p w14:paraId="3EC93A12" w14:textId="60FE5CB8" w:rsidR="001F0683" w:rsidRPr="00F43C92" w:rsidRDefault="001F0683"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 xml:space="preserve">α​: </w:t>
      </w:r>
      <w:r w:rsidR="00DC433F" w:rsidRPr="00F43C92">
        <w:rPr>
          <w:rFonts w:ascii="Times New Roman" w:hAnsi="Times New Roman" w:cs="Times New Roman"/>
          <w:i/>
          <w:iCs/>
          <w:sz w:val="28"/>
          <w:szCs w:val="28"/>
          <w:lang w:val="en-GB"/>
        </w:rPr>
        <w:t>f</w:t>
      </w:r>
      <w:r w:rsidRPr="00F43C92">
        <w:rPr>
          <w:rFonts w:ascii="Times New Roman" w:hAnsi="Times New Roman" w:cs="Times New Roman"/>
          <w:i/>
          <w:iCs/>
          <w:sz w:val="28"/>
          <w:szCs w:val="28"/>
          <w:lang w:val="en-GB"/>
        </w:rPr>
        <w:t>uture-by-quarter fixed effects to control for the potential differences in oil future prices across maturities and quarters, allowing us to focus on the specific relationship between the futures returns and the explanatory variables within each quarter.</w:t>
      </w:r>
    </w:p>
    <w:p w14:paraId="48C59084" w14:textId="045B5150" w:rsidR="001F0683" w:rsidRPr="00F43C92" w:rsidRDefault="001F0683"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lang w:val="en-GB"/>
        </w:rPr>
        <w:t xml:space="preserve">ϵ​: </w:t>
      </w:r>
      <w:r w:rsidR="00DC433F" w:rsidRPr="00F43C92">
        <w:rPr>
          <w:rFonts w:ascii="Times New Roman" w:hAnsi="Times New Roman" w:cs="Times New Roman"/>
          <w:i/>
          <w:iCs/>
          <w:sz w:val="28"/>
          <w:szCs w:val="28"/>
          <w:lang w:val="en-GB"/>
        </w:rPr>
        <w:t>t</w:t>
      </w:r>
      <w:r w:rsidRPr="00F43C92">
        <w:rPr>
          <w:rFonts w:ascii="Times New Roman" w:hAnsi="Times New Roman" w:cs="Times New Roman"/>
          <w:i/>
          <w:iCs/>
          <w:sz w:val="28"/>
          <w:szCs w:val="28"/>
          <w:lang w:val="en-GB"/>
        </w:rPr>
        <w:t>he error term, capturing any unobserved factors not explained by the included variables.</w:t>
      </w:r>
    </w:p>
    <w:p w14:paraId="7CB53E19" w14:textId="503CD993" w:rsidR="001F0683" w:rsidRPr="0080272A" w:rsidRDefault="00DC433F" w:rsidP="003D4B27">
      <w:pPr>
        <w:rPr>
          <w:rFonts w:ascii="Times New Roman" w:hAnsi="Times New Roman" w:cs="Times New Roman"/>
          <w:sz w:val="28"/>
          <w:szCs w:val="28"/>
          <w:lang w:val="en-GB"/>
        </w:rPr>
      </w:pPr>
      <w:r>
        <w:rPr>
          <w:rFonts w:ascii="Times New Roman" w:hAnsi="Times New Roman" w:cs="Times New Roman"/>
          <w:sz w:val="28"/>
          <w:szCs w:val="28"/>
          <w:lang w:val="en-GB"/>
        </w:rPr>
        <w:t>To improve this formula, it can be inserted a variable that captures the peculiarity of the oil market, which is oligopolistic and highly influenceable by geopolitical crises or oil supply crises</w:t>
      </w:r>
      <w:r w:rsidR="0080272A">
        <w:rPr>
          <w:rFonts w:ascii="Times New Roman" w:hAnsi="Times New Roman" w:cs="Times New Roman"/>
          <w:sz w:val="28"/>
          <w:szCs w:val="28"/>
          <w:lang w:val="en-GB"/>
        </w:rPr>
        <w:t xml:space="preserve"> and as the previous regression it can be </w:t>
      </w:r>
      <w:r w:rsidR="0080272A">
        <w:rPr>
          <w:rFonts w:ascii="Times New Roman" w:hAnsi="Times New Roman" w:cs="Times New Roman"/>
          <w:sz w:val="28"/>
          <w:szCs w:val="28"/>
          <w:lang w:val="en-GB"/>
        </w:rPr>
        <w:lastRenderedPageBreak/>
        <w:t xml:space="preserve">added the interest rate parameter and the lagging factor of </w:t>
      </w:r>
      <w:proofErr w:type="spellStart"/>
      <w:r w:rsidR="0080272A" w:rsidRPr="001F0683">
        <w:rPr>
          <w:rFonts w:ascii="Times New Roman" w:hAnsi="Times New Roman" w:cs="Times New Roman"/>
          <w:sz w:val="28"/>
          <w:szCs w:val="28"/>
          <w:lang w:val="en-GB"/>
        </w:rPr>
        <w:t>Δz</w:t>
      </w:r>
      <w:proofErr w:type="spellEnd"/>
      <w:r w:rsidR="0080272A" w:rsidRPr="001F0683">
        <w:rPr>
          <w:rFonts w:ascii="Times New Roman" w:hAnsi="Times New Roman" w:cs="Times New Roman"/>
          <w:sz w:val="28"/>
          <w:szCs w:val="28"/>
          <w:lang w:val="en-GB"/>
        </w:rPr>
        <w:t>​</w:t>
      </w:r>
      <w:r w:rsidR="0080272A">
        <w:rPr>
          <w:rFonts w:ascii="Times New Roman" w:hAnsi="Times New Roman" w:cs="Times New Roman"/>
          <w:sz w:val="28"/>
          <w:szCs w:val="28"/>
          <w:vertAlign w:val="subscript"/>
          <w:lang w:val="en-GB"/>
        </w:rPr>
        <w:t>t-1</w:t>
      </w:r>
      <w:r w:rsidR="0080272A" w:rsidRPr="0080272A">
        <w:rPr>
          <w:rFonts w:ascii="Times New Roman" w:hAnsi="Times New Roman" w:cs="Times New Roman"/>
          <w:sz w:val="28"/>
          <w:szCs w:val="28"/>
          <w:lang w:val="en-GB"/>
        </w:rPr>
        <w:t xml:space="preserve"> and</w:t>
      </w:r>
      <w:r w:rsidR="0080272A">
        <w:rPr>
          <w:rFonts w:ascii="Times New Roman" w:hAnsi="Times New Roman" w:cs="Times New Roman"/>
          <w:sz w:val="28"/>
          <w:szCs w:val="28"/>
          <w:vertAlign w:val="subscript"/>
          <w:lang w:val="en-GB"/>
        </w:rPr>
        <w:t xml:space="preserve"> </w:t>
      </w:r>
      <w:r w:rsidR="0080272A" w:rsidRPr="00977D01">
        <w:rPr>
          <w:rFonts w:ascii="Times New Roman" w:hAnsi="Times New Roman" w:cs="Times New Roman"/>
          <w:sz w:val="28"/>
          <w:szCs w:val="28"/>
          <w:lang w:val="en-GB"/>
        </w:rPr>
        <w:t>Δ</w:t>
      </w:r>
      <w:r w:rsidR="0080272A" w:rsidRPr="00DB2D88">
        <w:rPr>
          <w:rFonts w:ascii="Times New Roman" w:hAnsi="Times New Roman" w:cs="Times New Roman"/>
          <w:sz w:val="28"/>
          <w:szCs w:val="28"/>
          <w:lang w:val="en-GB"/>
        </w:rPr>
        <w:t>r</w:t>
      </w:r>
      <w:r w:rsidR="0080272A" w:rsidRPr="00DB2D88">
        <w:rPr>
          <w:rFonts w:ascii="Times New Roman" w:hAnsi="Times New Roman" w:cs="Times New Roman"/>
          <w:sz w:val="28"/>
          <w:szCs w:val="28"/>
          <w:vertAlign w:val="subscript"/>
          <w:lang w:val="en-GB"/>
        </w:rPr>
        <w:t>t</w:t>
      </w:r>
      <w:r w:rsidR="0080272A">
        <w:rPr>
          <w:rFonts w:ascii="Times New Roman" w:hAnsi="Times New Roman" w:cs="Times New Roman"/>
          <w:sz w:val="28"/>
          <w:szCs w:val="28"/>
          <w:vertAlign w:val="subscript"/>
          <w:lang w:val="en-GB"/>
        </w:rPr>
        <w:t xml:space="preserve">-1 </w:t>
      </w:r>
      <w:r w:rsidR="0080272A">
        <w:rPr>
          <w:rFonts w:ascii="Times New Roman" w:hAnsi="Times New Roman" w:cs="Times New Roman"/>
          <w:sz w:val="28"/>
          <w:szCs w:val="28"/>
          <w:lang w:val="en-GB"/>
        </w:rPr>
        <w:t>multiplied by its coefficients.</w:t>
      </w:r>
    </w:p>
    <w:p w14:paraId="1F3ED78C" w14:textId="543CB407" w:rsidR="00DC433F" w:rsidRDefault="00DC433F"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The </w:t>
      </w:r>
      <w:r w:rsidR="007D1B27">
        <w:rPr>
          <w:rFonts w:ascii="Times New Roman" w:hAnsi="Times New Roman" w:cs="Times New Roman"/>
          <w:sz w:val="28"/>
          <w:szCs w:val="28"/>
          <w:lang w:val="en-GB"/>
        </w:rPr>
        <w:t>new regression formula would be</w:t>
      </w:r>
      <w:r>
        <w:rPr>
          <w:rFonts w:ascii="Times New Roman" w:hAnsi="Times New Roman" w:cs="Times New Roman"/>
          <w:sz w:val="28"/>
          <w:szCs w:val="28"/>
          <w:lang w:val="en-GB"/>
        </w:rPr>
        <w:t>:</w:t>
      </w:r>
    </w:p>
    <w:p w14:paraId="27F6179A" w14:textId="7CC4C2B6" w:rsidR="007D1B27" w:rsidRDefault="00DC433F" w:rsidP="003D4B27">
      <w:pPr>
        <w:rPr>
          <w:rFonts w:ascii="Times New Roman" w:hAnsi="Times New Roman" w:cs="Times New Roman"/>
          <w:sz w:val="28"/>
          <w:szCs w:val="28"/>
          <w:lang w:val="en-GB"/>
        </w:rPr>
      </w:pPr>
      <w:r w:rsidRPr="00DC433F">
        <w:rPr>
          <w:rFonts w:ascii="Times New Roman" w:hAnsi="Times New Roman" w:cs="Times New Roman"/>
          <w:noProof/>
          <w:sz w:val="28"/>
          <w:szCs w:val="28"/>
          <w:lang w:val="en-GB"/>
        </w:rPr>
        <w:drawing>
          <wp:inline distT="0" distB="0" distL="0" distR="0" wp14:anchorId="4AD47FD8" wp14:editId="5539523E">
            <wp:extent cx="5113463" cy="320068"/>
            <wp:effectExtent l="0" t="0" r="0" b="3810"/>
            <wp:docPr id="88717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4147" name=""/>
                    <pic:cNvPicPr/>
                  </pic:nvPicPr>
                  <pic:blipFill>
                    <a:blip r:embed="rId16"/>
                    <a:stretch>
                      <a:fillRect/>
                    </a:stretch>
                  </pic:blipFill>
                  <pic:spPr>
                    <a:xfrm>
                      <a:off x="0" y="0"/>
                      <a:ext cx="5113463" cy="320068"/>
                    </a:xfrm>
                    <a:prstGeom prst="rect">
                      <a:avLst/>
                    </a:prstGeom>
                  </pic:spPr>
                </pic:pic>
              </a:graphicData>
            </a:graphic>
          </wp:inline>
        </w:drawing>
      </w:r>
    </w:p>
    <w:p w14:paraId="562C902C" w14:textId="26F43B00" w:rsidR="007D1B27" w:rsidRDefault="007D1B27" w:rsidP="003D4B27">
      <w:pPr>
        <w:rPr>
          <w:rFonts w:ascii="Times New Roman" w:hAnsi="Times New Roman" w:cs="Times New Roman"/>
          <w:sz w:val="28"/>
          <w:szCs w:val="28"/>
          <w:lang w:val="en-GB"/>
        </w:rPr>
      </w:pPr>
      <w:r>
        <w:rPr>
          <w:rFonts w:ascii="Times New Roman" w:hAnsi="Times New Roman" w:cs="Times New Roman"/>
          <w:sz w:val="28"/>
          <w:szCs w:val="28"/>
          <w:lang w:val="en-GB"/>
        </w:rPr>
        <w:t>With:</w:t>
      </w:r>
    </w:p>
    <w:p w14:paraId="09F80F0F" w14:textId="2C0EFDD5" w:rsidR="00DC433F" w:rsidRPr="00F43C92" w:rsidRDefault="00DC433F" w:rsidP="003D4B27">
      <w:pPr>
        <w:rPr>
          <w:rFonts w:ascii="Times New Roman" w:hAnsi="Times New Roman" w:cs="Times New Roman"/>
          <w:i/>
          <w:iCs/>
          <w:sz w:val="28"/>
          <w:szCs w:val="28"/>
          <w:lang w:val="en-GB"/>
        </w:rPr>
      </w:pPr>
      <w:commentRangeStart w:id="10"/>
      <w:r w:rsidRPr="00F43C92">
        <w:rPr>
          <w:rFonts w:ascii="Times New Roman" w:hAnsi="Times New Roman" w:cs="Times New Roman"/>
          <w:i/>
          <w:iCs/>
          <w:sz w:val="28"/>
          <w:szCs w:val="28"/>
          <w:lang w:val="en-GB"/>
        </w:rPr>
        <w:t>ΔO</w:t>
      </w:r>
      <w:r w:rsidR="00E13309" w:rsidRPr="00F43C92">
        <w:rPr>
          <w:rFonts w:ascii="Times New Roman" w:hAnsi="Times New Roman" w:cs="Times New Roman"/>
          <w:i/>
          <w:iCs/>
          <w:sz w:val="28"/>
          <w:szCs w:val="28"/>
          <w:lang w:val="en-GB"/>
        </w:rPr>
        <w:t>=</w:t>
      </w:r>
      <w:r w:rsidRPr="00F43C92">
        <w:rPr>
          <w:rFonts w:ascii="Times New Roman" w:hAnsi="Times New Roman" w:cs="Times New Roman"/>
          <w:i/>
          <w:iCs/>
          <w:sz w:val="28"/>
          <w:szCs w:val="28"/>
          <w:lang w:val="en-GB"/>
        </w:rPr>
        <w:t xml:space="preserve"> </w:t>
      </w:r>
      <w:r w:rsidR="00E13309" w:rsidRPr="00F43C92">
        <w:rPr>
          <w:rFonts w:ascii="Times New Roman" w:hAnsi="Times New Roman" w:cs="Times New Roman"/>
          <w:i/>
          <w:iCs/>
          <w:sz w:val="28"/>
          <w:szCs w:val="28"/>
          <w:lang w:val="en-GB"/>
        </w:rPr>
        <w:t>o</w:t>
      </w:r>
      <w:r w:rsidRPr="00F43C92">
        <w:rPr>
          <w:rFonts w:ascii="Times New Roman" w:hAnsi="Times New Roman" w:cs="Times New Roman"/>
          <w:i/>
          <w:iCs/>
          <w:sz w:val="28"/>
          <w:szCs w:val="28"/>
          <w:lang w:val="en-GB"/>
        </w:rPr>
        <w:t xml:space="preserve">il supply shocks: </w:t>
      </w:r>
      <w:r w:rsidR="00E13309" w:rsidRPr="00F43C92">
        <w:rPr>
          <w:rFonts w:ascii="Times New Roman" w:hAnsi="Times New Roman" w:cs="Times New Roman"/>
          <w:i/>
          <w:iCs/>
          <w:sz w:val="28"/>
          <w:szCs w:val="28"/>
          <w:lang w:val="en-GB"/>
        </w:rPr>
        <w:t>t</w:t>
      </w:r>
      <w:r w:rsidRPr="00F43C92">
        <w:rPr>
          <w:rFonts w:ascii="Times New Roman" w:hAnsi="Times New Roman" w:cs="Times New Roman"/>
          <w:i/>
          <w:iCs/>
          <w:sz w:val="28"/>
          <w:szCs w:val="28"/>
          <w:lang w:val="en-GB"/>
        </w:rPr>
        <w:t>his variable tracks changes in global oil supply</w:t>
      </w:r>
      <w:r w:rsidR="00E13309" w:rsidRPr="00F43C92">
        <w:rPr>
          <w:rFonts w:ascii="Times New Roman" w:hAnsi="Times New Roman" w:cs="Times New Roman"/>
          <w:i/>
          <w:iCs/>
          <w:sz w:val="28"/>
          <w:szCs w:val="28"/>
          <w:lang w:val="en-GB"/>
        </w:rPr>
        <w:t xml:space="preserve">, </w:t>
      </w:r>
      <w:r w:rsidRPr="00F43C92">
        <w:rPr>
          <w:rFonts w:ascii="Times New Roman" w:hAnsi="Times New Roman" w:cs="Times New Roman"/>
          <w:i/>
          <w:iCs/>
          <w:sz w:val="28"/>
          <w:szCs w:val="28"/>
          <w:lang w:val="en-GB"/>
        </w:rPr>
        <w:t>due to disruptions like OPEC decisions, geopolitical crises, or natural disasters affecting oil production</w:t>
      </w:r>
      <w:r w:rsidR="00486009" w:rsidRPr="00F43C92">
        <w:rPr>
          <w:rFonts w:ascii="Times New Roman" w:hAnsi="Times New Roman" w:cs="Times New Roman"/>
          <w:i/>
          <w:iCs/>
          <w:sz w:val="28"/>
          <w:szCs w:val="28"/>
          <w:lang w:val="en-GB"/>
        </w:rPr>
        <w:t>.</w:t>
      </w:r>
      <w:commentRangeEnd w:id="10"/>
      <w:r w:rsidR="009B69D7">
        <w:rPr>
          <w:rStyle w:val="CommentReference"/>
        </w:rPr>
        <w:commentReference w:id="10"/>
      </w:r>
    </w:p>
    <w:p w14:paraId="11F2A4C5" w14:textId="77777777" w:rsidR="00DC433F" w:rsidRPr="00F43C92" w:rsidRDefault="00DC433F" w:rsidP="003D4B27">
      <w:pPr>
        <w:rPr>
          <w:rFonts w:ascii="Times New Roman" w:hAnsi="Times New Roman" w:cs="Times New Roman"/>
          <w:i/>
          <w:iCs/>
          <w:sz w:val="28"/>
          <w:szCs w:val="28"/>
          <w:lang w:val="en-GB"/>
        </w:rPr>
      </w:pPr>
      <w:r w:rsidRPr="00F43C92">
        <w:rPr>
          <w:rFonts w:ascii="Times New Roman" w:hAnsi="Times New Roman" w:cs="Times New Roman"/>
          <w:i/>
          <w:iCs/>
          <w:sz w:val="28"/>
          <w:szCs w:val="28"/>
        </w:rPr>
        <w:t>η</w:t>
      </w:r>
      <w:r w:rsidRPr="00F43C92">
        <w:rPr>
          <w:rFonts w:ascii="Times New Roman" w:hAnsi="Times New Roman" w:cs="Times New Roman"/>
          <w:i/>
          <w:iCs/>
          <w:sz w:val="28"/>
          <w:szCs w:val="28"/>
          <w:lang w:val="en-GB"/>
        </w:rPr>
        <w:t>: The coefficient for oil supply shocks on oil futures returns.</w:t>
      </w:r>
    </w:p>
    <w:p w14:paraId="3982A96D" w14:textId="23176D73" w:rsidR="00F149E2" w:rsidRDefault="00DC433F"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Since the oil supply shocks </w:t>
      </w:r>
      <w:r w:rsidR="00B875B1">
        <w:rPr>
          <w:rFonts w:ascii="Times New Roman" w:hAnsi="Times New Roman" w:cs="Times New Roman"/>
          <w:sz w:val="28"/>
          <w:szCs w:val="28"/>
          <w:lang w:val="en-GB"/>
        </w:rPr>
        <w:t xml:space="preserve">have been a </w:t>
      </w:r>
      <w:commentRangeStart w:id="11"/>
      <w:r w:rsidR="00B875B1">
        <w:rPr>
          <w:rFonts w:ascii="Times New Roman" w:hAnsi="Times New Roman" w:cs="Times New Roman"/>
          <w:sz w:val="28"/>
          <w:szCs w:val="28"/>
          <w:lang w:val="en-GB"/>
        </w:rPr>
        <w:t>recursive</w:t>
      </w:r>
      <w:commentRangeEnd w:id="11"/>
      <w:r w:rsidR="009B69D7">
        <w:rPr>
          <w:rStyle w:val="CommentReference"/>
        </w:rPr>
        <w:commentReference w:id="11"/>
      </w:r>
      <w:r w:rsidR="00B875B1">
        <w:rPr>
          <w:rFonts w:ascii="Times New Roman" w:hAnsi="Times New Roman" w:cs="Times New Roman"/>
          <w:sz w:val="28"/>
          <w:szCs w:val="28"/>
          <w:lang w:val="en-GB"/>
        </w:rPr>
        <w:t xml:space="preserve"> phenomenon, this coefficient should not be included in the error term and instead analysed on his own.</w:t>
      </w:r>
    </w:p>
    <w:p w14:paraId="1475DE75" w14:textId="3B576C1A" w:rsidR="00B875B1" w:rsidRDefault="00B875B1"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To estimate this factor, it can be done directing measuring the oil supply changes provided by </w:t>
      </w:r>
      <w:r w:rsidRPr="00B875B1">
        <w:rPr>
          <w:rFonts w:ascii="Times New Roman" w:hAnsi="Times New Roman" w:cs="Times New Roman"/>
          <w:sz w:val="28"/>
          <w:szCs w:val="28"/>
          <w:lang w:val="en-GB"/>
        </w:rPr>
        <w:t>EIA (U.S. Energy Information Administration)</w:t>
      </w:r>
      <w:r>
        <w:rPr>
          <w:rFonts w:ascii="Times New Roman" w:hAnsi="Times New Roman" w:cs="Times New Roman"/>
          <w:sz w:val="28"/>
          <w:szCs w:val="28"/>
          <w:lang w:val="en-GB"/>
        </w:rPr>
        <w:t xml:space="preserve"> in the “Monthly Petroleum Supply” report</w:t>
      </w:r>
      <w:r w:rsidR="00B974C2">
        <w:rPr>
          <w:rFonts w:ascii="Times New Roman" w:hAnsi="Times New Roman" w:cs="Times New Roman"/>
          <w:sz w:val="28"/>
          <w:szCs w:val="28"/>
          <w:lang w:val="en-GB"/>
        </w:rPr>
        <w:t xml:space="preserve">, as </w:t>
      </w:r>
      <w:r w:rsidR="00486009">
        <w:rPr>
          <w:rFonts w:ascii="Times New Roman" w:hAnsi="Times New Roman" w:cs="Times New Roman"/>
          <w:sz w:val="28"/>
          <w:szCs w:val="28"/>
          <w:lang w:val="en-GB"/>
        </w:rPr>
        <w:t>Norman and</w:t>
      </w:r>
      <w:r w:rsidR="00B974C2">
        <w:rPr>
          <w:rFonts w:ascii="Times New Roman" w:hAnsi="Times New Roman" w:cs="Times New Roman"/>
          <w:sz w:val="28"/>
          <w:szCs w:val="28"/>
          <w:lang w:val="en-GB"/>
        </w:rPr>
        <w:t xml:space="preserve"> </w:t>
      </w:r>
      <w:r w:rsidR="00B974C2" w:rsidRPr="00112EF2">
        <w:rPr>
          <w:rFonts w:ascii="Times New Roman" w:hAnsi="Times New Roman" w:cs="Times New Roman"/>
          <w:sz w:val="28"/>
          <w:szCs w:val="28"/>
          <w:lang w:val="en-GB"/>
        </w:rPr>
        <w:t>Schlenker</w:t>
      </w:r>
      <w:r w:rsidR="00B974C2">
        <w:rPr>
          <w:rFonts w:ascii="Times New Roman" w:hAnsi="Times New Roman" w:cs="Times New Roman"/>
          <w:sz w:val="28"/>
          <w:szCs w:val="28"/>
          <w:lang w:val="en-GB"/>
        </w:rPr>
        <w:t xml:space="preserve"> have done to support their claim that </w:t>
      </w:r>
      <w:r w:rsidR="00B974C2" w:rsidRPr="00B974C2">
        <w:rPr>
          <w:rFonts w:ascii="Times New Roman" w:hAnsi="Times New Roman" w:cs="Times New Roman"/>
          <w:sz w:val="28"/>
          <w:szCs w:val="28"/>
          <w:lang w:val="en-GB"/>
        </w:rPr>
        <w:t>the oil price shifts are caused by supply rather than demand shocks</w:t>
      </w:r>
      <w:r w:rsidR="00B974C2">
        <w:rPr>
          <w:rFonts w:ascii="Times New Roman" w:hAnsi="Times New Roman" w:cs="Times New Roman"/>
          <w:sz w:val="28"/>
          <w:szCs w:val="28"/>
          <w:lang w:val="en-GB"/>
        </w:rPr>
        <w:t>.</w:t>
      </w:r>
    </w:p>
    <w:p w14:paraId="1CCBC640" w14:textId="34507E46" w:rsidR="006E3196" w:rsidRDefault="00486009" w:rsidP="003D4B27">
      <w:pPr>
        <w:rPr>
          <w:rFonts w:ascii="Times New Roman" w:hAnsi="Times New Roman" w:cs="Times New Roman"/>
          <w:sz w:val="28"/>
          <w:szCs w:val="28"/>
          <w:lang w:val="en-GB"/>
        </w:rPr>
      </w:pPr>
      <w:r>
        <w:rPr>
          <w:rFonts w:ascii="Times New Roman" w:hAnsi="Times New Roman" w:cs="Times New Roman"/>
          <w:sz w:val="28"/>
          <w:szCs w:val="28"/>
          <w:lang w:val="en-GB"/>
        </w:rPr>
        <w:t>We should be able to split the effects of oil supply shocks caused by policy discussions (</w:t>
      </w:r>
      <w:r w:rsidRPr="00486009">
        <w:rPr>
          <w:rFonts w:ascii="Times New Roman" w:hAnsi="Times New Roman" w:cs="Times New Roman"/>
          <w:sz w:val="28"/>
          <w:szCs w:val="28"/>
          <w:lang w:val="en-GB"/>
        </w:rPr>
        <w:t>policy</w:t>
      </w:r>
      <w:r>
        <w:rPr>
          <w:rFonts w:ascii="Times New Roman" w:hAnsi="Times New Roman" w:cs="Times New Roman"/>
          <w:sz w:val="28"/>
          <w:szCs w:val="28"/>
          <w:lang w:val="en-GB"/>
        </w:rPr>
        <w:t xml:space="preserve"> </w:t>
      </w:r>
      <w:r w:rsidRPr="00486009">
        <w:rPr>
          <w:rFonts w:ascii="Times New Roman" w:hAnsi="Times New Roman" w:cs="Times New Roman"/>
          <w:sz w:val="28"/>
          <w:szCs w:val="28"/>
          <w:lang w:val="en-GB"/>
        </w:rPr>
        <w:t>induced shifts in expectations</w:t>
      </w:r>
      <w:r>
        <w:rPr>
          <w:rFonts w:ascii="Times New Roman" w:hAnsi="Times New Roman" w:cs="Times New Roman"/>
          <w:sz w:val="28"/>
          <w:szCs w:val="28"/>
          <w:lang w:val="en-GB"/>
        </w:rPr>
        <w:t>) and those from OPEC decisions or geopolitical events.</w:t>
      </w:r>
    </w:p>
    <w:p w14:paraId="3A847D22" w14:textId="77777777" w:rsidR="006E3196" w:rsidRPr="00860961" w:rsidRDefault="006E3196" w:rsidP="003D4B27">
      <w:pPr>
        <w:rPr>
          <w:rFonts w:ascii="Times New Roman" w:hAnsi="Times New Roman" w:cs="Times New Roman"/>
          <w:sz w:val="28"/>
          <w:szCs w:val="28"/>
          <w:lang w:val="en-GB"/>
        </w:rPr>
      </w:pPr>
    </w:p>
    <w:p w14:paraId="51E927A4" w14:textId="0FF5DB92" w:rsidR="004E7F8B" w:rsidRPr="00112EF2" w:rsidRDefault="00E42234" w:rsidP="003D4B27">
      <w:pPr>
        <w:pStyle w:val="Subtitle"/>
        <w:rPr>
          <w:rFonts w:ascii="Times New Roman" w:hAnsi="Times New Roman" w:cs="Times New Roman"/>
          <w:lang w:val="en-GB"/>
        </w:rPr>
      </w:pPr>
      <w:r w:rsidRPr="00112EF2">
        <w:rPr>
          <w:rFonts w:ascii="Times New Roman" w:hAnsi="Times New Roman" w:cs="Times New Roman"/>
          <w:lang w:val="en-GB"/>
        </w:rPr>
        <w:t>Strengths of the analysis</w:t>
      </w:r>
    </w:p>
    <w:p w14:paraId="39477D5F" w14:textId="77777777" w:rsid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study’s use of high-frequency data provides a significant advantage in capturing real-time reactions to climate policy discussions.</w:t>
      </w:r>
    </w:p>
    <w:p w14:paraId="5FE6B20C" w14:textId="77777777" w:rsid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By analysing daily changes in oil futures and prediction market data, it tracks how expectations about the likelihood of climate legislation affect oil prices.</w:t>
      </w:r>
    </w:p>
    <w:p w14:paraId="37F87F9E" w14:textId="77777777" w:rsid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integration of prediction market data, oil futures prices, and news-based indexes strengthens the findings.</w:t>
      </w:r>
    </w:p>
    <w:p w14:paraId="2EEECD33" w14:textId="1247D8EA" w:rsid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prediction market, which reflects the market</w:t>
      </w:r>
      <w:r>
        <w:rPr>
          <w:rFonts w:ascii="Times New Roman" w:eastAsiaTheme="minorHAnsi" w:hAnsi="Times New Roman" w:cs="Times New Roman"/>
          <w:color w:val="auto"/>
          <w:spacing w:val="0"/>
          <w:lang w:val="en-GB"/>
        </w:rPr>
        <w:t>’</w:t>
      </w:r>
      <w:r w:rsidRPr="000204DE">
        <w:rPr>
          <w:rFonts w:ascii="Times New Roman" w:eastAsiaTheme="minorHAnsi" w:hAnsi="Times New Roman" w:cs="Times New Roman"/>
          <w:color w:val="auto"/>
          <w:spacing w:val="0"/>
          <w:lang w:val="en-GB"/>
        </w:rPr>
        <w:t>s probability estimates for the passage of climate bills, allows the study to directly link shifts in policy expectations to oil price fluctuations</w:t>
      </w:r>
      <w:r>
        <w:rPr>
          <w:rFonts w:ascii="Times New Roman" w:eastAsiaTheme="minorHAnsi" w:hAnsi="Times New Roman" w:cs="Times New Roman"/>
          <w:color w:val="auto"/>
          <w:spacing w:val="0"/>
          <w:lang w:val="en-GB"/>
        </w:rPr>
        <w:t>, although it might not be the most reliable source of information</w:t>
      </w:r>
      <w:r w:rsidR="004C5E5D">
        <w:rPr>
          <w:rFonts w:ascii="Times New Roman" w:eastAsiaTheme="minorHAnsi" w:hAnsi="Times New Roman" w:cs="Times New Roman"/>
          <w:color w:val="auto"/>
          <w:spacing w:val="0"/>
          <w:lang w:val="en-GB"/>
        </w:rPr>
        <w:t>.</w:t>
      </w:r>
    </w:p>
    <w:p w14:paraId="363DA689" w14:textId="77777777" w:rsid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lastRenderedPageBreak/>
        <w:t>This is supported by using oil futures data, which provide a long-term view of how anticipated regulations impact oil prices over time.</w:t>
      </w:r>
    </w:p>
    <w:p w14:paraId="7400E387" w14:textId="5417A740" w:rsidR="000204DE" w:rsidRP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inclusion of Google Trends</w:t>
      </w:r>
      <w:r>
        <w:rPr>
          <w:rFonts w:ascii="Times New Roman" w:eastAsiaTheme="minorHAnsi" w:hAnsi="Times New Roman" w:cs="Times New Roman"/>
          <w:color w:val="auto"/>
          <w:spacing w:val="0"/>
          <w:lang w:val="en-GB"/>
        </w:rPr>
        <w:t xml:space="preserve"> and other news-based indexes</w:t>
      </w:r>
      <w:r w:rsidRPr="000204DE">
        <w:rPr>
          <w:rFonts w:ascii="Times New Roman" w:eastAsiaTheme="minorHAnsi" w:hAnsi="Times New Roman" w:cs="Times New Roman"/>
          <w:color w:val="auto"/>
          <w:spacing w:val="0"/>
          <w:lang w:val="en-GB"/>
        </w:rPr>
        <w:t xml:space="preserve"> data link</w:t>
      </w:r>
      <w:r>
        <w:rPr>
          <w:rFonts w:ascii="Times New Roman" w:eastAsiaTheme="minorHAnsi" w:hAnsi="Times New Roman" w:cs="Times New Roman"/>
          <w:color w:val="auto"/>
          <w:spacing w:val="0"/>
          <w:lang w:val="en-GB"/>
        </w:rPr>
        <w:t>s</w:t>
      </w:r>
      <w:r w:rsidRPr="000204DE">
        <w:rPr>
          <w:rFonts w:ascii="Times New Roman" w:eastAsiaTheme="minorHAnsi" w:hAnsi="Times New Roman" w:cs="Times New Roman"/>
          <w:color w:val="auto"/>
          <w:spacing w:val="0"/>
          <w:lang w:val="en-GB"/>
        </w:rPr>
        <w:t xml:space="preserve"> the salience of climate policy in the public discourse to oil futures movements. These combined data sources help to form a robust picture of market </w:t>
      </w:r>
      <w:r w:rsidR="00860CD3" w:rsidRPr="000204DE">
        <w:rPr>
          <w:rFonts w:ascii="Times New Roman" w:eastAsiaTheme="minorHAnsi" w:hAnsi="Times New Roman" w:cs="Times New Roman"/>
          <w:color w:val="auto"/>
          <w:spacing w:val="0"/>
          <w:lang w:val="en-GB"/>
        </w:rPr>
        <w:t>behaviour</w:t>
      </w:r>
      <w:r w:rsidRPr="000204DE">
        <w:rPr>
          <w:rFonts w:ascii="Times New Roman" w:eastAsiaTheme="minorHAnsi" w:hAnsi="Times New Roman" w:cs="Times New Roman"/>
          <w:color w:val="auto"/>
          <w:spacing w:val="0"/>
          <w:lang w:val="en-GB"/>
        </w:rPr>
        <w:t>, beyond simple price change.</w:t>
      </w:r>
    </w:p>
    <w:p w14:paraId="573AEA26" w14:textId="46ACA067" w:rsidR="00860CD3"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study employs advanced econometric techniques, including event studies and regression analysis, to test its hypotheses</w:t>
      </w:r>
      <w:r w:rsidR="00860CD3">
        <w:rPr>
          <w:rFonts w:ascii="Times New Roman" w:eastAsiaTheme="minorHAnsi" w:hAnsi="Times New Roman" w:cs="Times New Roman"/>
          <w:color w:val="auto"/>
          <w:spacing w:val="0"/>
          <w:lang w:val="en-GB"/>
        </w:rPr>
        <w:t>.</w:t>
      </w:r>
    </w:p>
    <w:p w14:paraId="7FF470A2" w14:textId="77777777" w:rsidR="00860CD3"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researchers are careful to account for the timing of key political developments, using precise data on when expectations about climate legislation shift.</w:t>
      </w:r>
    </w:p>
    <w:p w14:paraId="79EF9DC6" w14:textId="5F154CFF" w:rsidR="000204DE" w:rsidRP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 xml:space="preserve">This ensures that the observed effects on oil prices are directly </w:t>
      </w:r>
      <w:r w:rsidR="00860CD3">
        <w:rPr>
          <w:rFonts w:ascii="Times New Roman" w:eastAsiaTheme="minorHAnsi" w:hAnsi="Times New Roman" w:cs="Times New Roman"/>
          <w:color w:val="auto"/>
          <w:spacing w:val="0"/>
          <w:lang w:val="en-GB"/>
        </w:rPr>
        <w:t>linkable</w:t>
      </w:r>
      <w:r w:rsidRPr="000204DE">
        <w:rPr>
          <w:rFonts w:ascii="Times New Roman" w:eastAsiaTheme="minorHAnsi" w:hAnsi="Times New Roman" w:cs="Times New Roman"/>
          <w:color w:val="auto"/>
          <w:spacing w:val="0"/>
          <w:lang w:val="en-GB"/>
        </w:rPr>
        <w:t xml:space="preserve"> to the discussions </w:t>
      </w:r>
      <w:r w:rsidR="00860CD3">
        <w:rPr>
          <w:rFonts w:ascii="Times New Roman" w:eastAsiaTheme="minorHAnsi" w:hAnsi="Times New Roman" w:cs="Times New Roman"/>
          <w:color w:val="auto"/>
          <w:spacing w:val="0"/>
          <w:lang w:val="en-GB"/>
        </w:rPr>
        <w:t>about</w:t>
      </w:r>
      <w:r w:rsidRPr="000204DE">
        <w:rPr>
          <w:rFonts w:ascii="Times New Roman" w:eastAsiaTheme="minorHAnsi" w:hAnsi="Times New Roman" w:cs="Times New Roman"/>
          <w:color w:val="auto"/>
          <w:spacing w:val="0"/>
          <w:lang w:val="en-GB"/>
        </w:rPr>
        <w:t xml:space="preserve"> climate policy, rather than to unrelated market movements.</w:t>
      </w:r>
    </w:p>
    <w:p w14:paraId="7EA070FC" w14:textId="28BA6AB9" w:rsidR="00860CD3" w:rsidRDefault="00860CD3" w:rsidP="003D4B27">
      <w:pPr>
        <w:pStyle w:val="Subtitle"/>
        <w:rPr>
          <w:rFonts w:ascii="Times New Roman" w:eastAsiaTheme="minorHAnsi" w:hAnsi="Times New Roman" w:cs="Times New Roman"/>
          <w:color w:val="auto"/>
          <w:spacing w:val="0"/>
          <w:lang w:val="en-GB"/>
        </w:rPr>
      </w:pPr>
      <w:r>
        <w:rPr>
          <w:rFonts w:ascii="Times New Roman" w:eastAsiaTheme="minorHAnsi" w:hAnsi="Times New Roman" w:cs="Times New Roman"/>
          <w:color w:val="auto"/>
          <w:spacing w:val="0"/>
          <w:lang w:val="en-GB"/>
        </w:rPr>
        <w:t>Then,</w:t>
      </w:r>
      <w:r w:rsidR="000204DE" w:rsidRPr="000204DE">
        <w:rPr>
          <w:rFonts w:ascii="Times New Roman" w:eastAsiaTheme="minorHAnsi" w:hAnsi="Times New Roman" w:cs="Times New Roman"/>
          <w:color w:val="auto"/>
          <w:spacing w:val="0"/>
          <w:lang w:val="en-GB"/>
        </w:rPr>
        <w:t xml:space="preserve"> the study distinguishes between supply and demand shocks, offering strong evidence for the “Green Paradox”</w:t>
      </w:r>
      <w:r w:rsidR="00FA1ACF">
        <w:rPr>
          <w:rFonts w:ascii="Times New Roman" w:eastAsiaTheme="minorHAnsi" w:hAnsi="Times New Roman" w:cs="Times New Roman"/>
          <w:color w:val="auto"/>
          <w:spacing w:val="0"/>
          <w:lang w:val="en-GB"/>
        </w:rPr>
        <w:t>.</w:t>
      </w:r>
    </w:p>
    <w:p w14:paraId="173E670D" w14:textId="17C8AC3D" w:rsidR="00860CD3"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The study’s results have clear policy implications</w:t>
      </w:r>
      <w:r w:rsidR="00FA1ACF">
        <w:rPr>
          <w:rFonts w:ascii="Times New Roman" w:eastAsiaTheme="minorHAnsi" w:hAnsi="Times New Roman" w:cs="Times New Roman"/>
          <w:color w:val="auto"/>
          <w:spacing w:val="0"/>
          <w:lang w:val="en-GB"/>
        </w:rPr>
        <w:t>: it</w:t>
      </w:r>
      <w:r w:rsidRPr="000204DE">
        <w:rPr>
          <w:rFonts w:ascii="Times New Roman" w:eastAsiaTheme="minorHAnsi" w:hAnsi="Times New Roman" w:cs="Times New Roman"/>
          <w:color w:val="auto"/>
          <w:spacing w:val="0"/>
          <w:lang w:val="en-GB"/>
        </w:rPr>
        <w:t xml:space="preserve"> underscores the need for consistent, transparent communication about climate policies to avoid unintended consequences in the oil market.</w:t>
      </w:r>
    </w:p>
    <w:p w14:paraId="2287B2E9" w14:textId="0F83F1E3" w:rsidR="000204DE" w:rsidRDefault="000204DE" w:rsidP="003D4B27">
      <w:pPr>
        <w:pStyle w:val="Subtitle"/>
        <w:rPr>
          <w:rFonts w:ascii="Times New Roman" w:eastAsiaTheme="minorHAnsi" w:hAnsi="Times New Roman" w:cs="Times New Roman"/>
          <w:color w:val="auto"/>
          <w:spacing w:val="0"/>
          <w:lang w:val="en-GB"/>
        </w:rPr>
      </w:pPr>
      <w:r w:rsidRPr="000204DE">
        <w:rPr>
          <w:rFonts w:ascii="Times New Roman" w:eastAsiaTheme="minorHAnsi" w:hAnsi="Times New Roman" w:cs="Times New Roman"/>
          <w:color w:val="auto"/>
          <w:spacing w:val="0"/>
          <w:lang w:val="en-GB"/>
        </w:rPr>
        <w:t>Ultimately, it shows that market participants react to shifts in policy expectations, and that these reactions can have real, measurable impacts on global oil consumption.</w:t>
      </w:r>
    </w:p>
    <w:p w14:paraId="6C86F910" w14:textId="77777777" w:rsidR="00146685" w:rsidRPr="00146685" w:rsidRDefault="00146685" w:rsidP="003D4B27">
      <w:pPr>
        <w:rPr>
          <w:lang w:val="en-GB"/>
        </w:rPr>
      </w:pPr>
    </w:p>
    <w:p w14:paraId="02F55818" w14:textId="0D5F77E8" w:rsidR="005461F3" w:rsidRPr="00112EF2" w:rsidRDefault="005461F3" w:rsidP="003D4B27">
      <w:pPr>
        <w:pStyle w:val="Subtitle"/>
        <w:rPr>
          <w:rFonts w:ascii="Times New Roman" w:hAnsi="Times New Roman" w:cs="Times New Roman"/>
          <w:lang w:val="en-GB"/>
        </w:rPr>
      </w:pPr>
      <w:r w:rsidRPr="00112EF2">
        <w:rPr>
          <w:rFonts w:ascii="Times New Roman" w:hAnsi="Times New Roman" w:cs="Times New Roman"/>
          <w:lang w:val="en-GB"/>
        </w:rPr>
        <w:t>Weaknesses of the analysis</w:t>
      </w:r>
    </w:p>
    <w:p w14:paraId="7D62046B" w14:textId="084704BE" w:rsidR="009B0AA0"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Despite efforts to control reverse causality, where oil prices may influence policy likelihood, concerns remain.</w:t>
      </w:r>
    </w:p>
    <w:p w14:paraId="3974D1A9" w14:textId="08B4064A" w:rsidR="00860961"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For instance, higher oil prices may generate public pressure for regulatory intervention, while lower prices could reduce the perceived need for policy measures.</w:t>
      </w:r>
    </w:p>
    <w:p w14:paraId="32918B4E" w14:textId="1B0C7CD8" w:rsidR="00BA6229" w:rsidRPr="00860961" w:rsidRDefault="00BA6229" w:rsidP="003D4B27">
      <w:pPr>
        <w:rPr>
          <w:rFonts w:ascii="Times New Roman" w:hAnsi="Times New Roman" w:cs="Times New Roman"/>
          <w:sz w:val="28"/>
          <w:szCs w:val="28"/>
          <w:lang w:val="en-GB"/>
        </w:rPr>
      </w:pPr>
      <w:r>
        <w:rPr>
          <w:rFonts w:ascii="Times New Roman" w:hAnsi="Times New Roman" w:cs="Times New Roman"/>
          <w:sz w:val="28"/>
          <w:szCs w:val="28"/>
          <w:lang w:val="en-GB"/>
        </w:rPr>
        <w:t xml:space="preserve">The usage of oil future prices </w:t>
      </w:r>
      <w:r w:rsidR="001E18C2">
        <w:rPr>
          <w:rFonts w:ascii="Times New Roman" w:hAnsi="Times New Roman" w:cs="Times New Roman"/>
          <w:sz w:val="28"/>
          <w:szCs w:val="28"/>
          <w:lang w:val="en-GB"/>
        </w:rPr>
        <w:t>supposes</w:t>
      </w:r>
      <w:r>
        <w:rPr>
          <w:rFonts w:ascii="Times New Roman" w:hAnsi="Times New Roman" w:cs="Times New Roman"/>
          <w:sz w:val="28"/>
          <w:szCs w:val="28"/>
          <w:lang w:val="en-GB"/>
        </w:rPr>
        <w:t xml:space="preserve"> market efficiency and risk-neutrality of investors, assumption that may not be accurate.</w:t>
      </w:r>
    </w:p>
    <w:p w14:paraId="519C20D4" w14:textId="0BD9D19E" w:rsidR="00860961"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 xml:space="preserve">The study also relies on prediction market data from </w:t>
      </w:r>
      <w:proofErr w:type="spellStart"/>
      <w:r w:rsidRPr="00860961">
        <w:rPr>
          <w:rFonts w:ascii="Times New Roman" w:hAnsi="Times New Roman" w:cs="Times New Roman"/>
          <w:sz w:val="28"/>
          <w:szCs w:val="28"/>
          <w:lang w:val="en-GB"/>
        </w:rPr>
        <w:t>Intrade</w:t>
      </w:r>
      <w:proofErr w:type="spellEnd"/>
      <w:r w:rsidRPr="00860961">
        <w:rPr>
          <w:rFonts w:ascii="Times New Roman" w:hAnsi="Times New Roman" w:cs="Times New Roman"/>
          <w:sz w:val="28"/>
          <w:szCs w:val="28"/>
          <w:lang w:val="en-GB"/>
        </w:rPr>
        <w:t xml:space="preserve"> market during 2009-2010, raising concerns about market liquidity and accuracy. Low trading volumes and sporadic activity in this market may compromise the reliability of </w:t>
      </w:r>
      <w:r w:rsidRPr="00860961">
        <w:rPr>
          <w:rFonts w:ascii="Times New Roman" w:hAnsi="Times New Roman" w:cs="Times New Roman"/>
          <w:sz w:val="28"/>
          <w:szCs w:val="28"/>
          <w:lang w:val="en-GB"/>
        </w:rPr>
        <w:lastRenderedPageBreak/>
        <w:t>the findings</w:t>
      </w:r>
      <w:r w:rsidR="00465163">
        <w:rPr>
          <w:rFonts w:ascii="Times New Roman" w:hAnsi="Times New Roman" w:cs="Times New Roman"/>
          <w:sz w:val="28"/>
          <w:szCs w:val="28"/>
          <w:lang w:val="en-GB"/>
        </w:rPr>
        <w:t xml:space="preserve">, although they have not used the exact amount of price change in the analysis but only the </w:t>
      </w:r>
      <w:r w:rsidR="000B057F">
        <w:rPr>
          <w:rFonts w:ascii="Times New Roman" w:hAnsi="Times New Roman" w:cs="Times New Roman"/>
          <w:sz w:val="28"/>
          <w:szCs w:val="28"/>
          <w:lang w:val="en-GB"/>
        </w:rPr>
        <w:t xml:space="preserve">significant changes in price levels for </w:t>
      </w:r>
      <w:commentRangeStart w:id="12"/>
      <w:r w:rsidR="000B057F">
        <w:rPr>
          <w:rFonts w:ascii="Times New Roman" w:hAnsi="Times New Roman" w:cs="Times New Roman"/>
          <w:sz w:val="28"/>
          <w:szCs w:val="28"/>
          <w:lang w:val="en-GB"/>
        </w:rPr>
        <w:t>identification</w:t>
      </w:r>
      <w:commentRangeEnd w:id="12"/>
      <w:r w:rsidR="005A6AB3">
        <w:rPr>
          <w:rStyle w:val="CommentReference"/>
        </w:rPr>
        <w:commentReference w:id="12"/>
      </w:r>
      <w:r w:rsidR="000B057F">
        <w:rPr>
          <w:rFonts w:ascii="Times New Roman" w:hAnsi="Times New Roman" w:cs="Times New Roman"/>
          <w:sz w:val="28"/>
          <w:szCs w:val="28"/>
          <w:lang w:val="en-GB"/>
        </w:rPr>
        <w:t>.</w:t>
      </w:r>
      <w:r w:rsidR="00367CC6">
        <w:rPr>
          <w:rStyle w:val="FootnoteReference"/>
          <w:rFonts w:ascii="Times New Roman" w:hAnsi="Times New Roman" w:cs="Times New Roman"/>
          <w:sz w:val="28"/>
          <w:szCs w:val="28"/>
          <w:lang w:val="en-GB"/>
        </w:rPr>
        <w:footnoteReference w:id="3"/>
      </w:r>
    </w:p>
    <w:p w14:paraId="7AEFDBA4" w14:textId="77777777" w:rsidR="009B0AA0"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Moreover, Norman and Schlenker assume a simplified oil market structure, ignoring the oligopolistic nature of the global oil market, which is dominated by a few major players like OPEC and large oil companies.</w:t>
      </w:r>
    </w:p>
    <w:p w14:paraId="3F858607" w14:textId="77777777" w:rsidR="00006F9C" w:rsidRDefault="00860961" w:rsidP="003D4B27">
      <w:pPr>
        <w:rPr>
          <w:rFonts w:ascii="Times New Roman" w:hAnsi="Times New Roman" w:cs="Times New Roman"/>
          <w:sz w:val="28"/>
          <w:szCs w:val="28"/>
          <w:lang w:val="en-GB"/>
        </w:rPr>
      </w:pPr>
      <w:r w:rsidRPr="00860961">
        <w:rPr>
          <w:rFonts w:ascii="Times New Roman" w:hAnsi="Times New Roman" w:cs="Times New Roman"/>
          <w:sz w:val="28"/>
          <w:szCs w:val="28"/>
          <w:lang w:val="en-GB"/>
        </w:rPr>
        <w:t>These players may adjust production strategies to maintain prices or market share, counteracting the effects of climate policies.</w:t>
      </w:r>
    </w:p>
    <w:p w14:paraId="6DA43616" w14:textId="18B9E4ED" w:rsidR="00860961" w:rsidRDefault="00860961" w:rsidP="003D4B27">
      <w:pPr>
        <w:rPr>
          <w:rFonts w:ascii="Times New Roman" w:hAnsi="Times New Roman" w:cs="Times New Roman"/>
          <w:sz w:val="28"/>
          <w:szCs w:val="28"/>
          <w:lang w:val="en-GB"/>
        </w:rPr>
      </w:pPr>
      <w:commentRangeStart w:id="13"/>
      <w:r w:rsidRPr="00860961">
        <w:rPr>
          <w:rFonts w:ascii="Times New Roman" w:hAnsi="Times New Roman" w:cs="Times New Roman"/>
          <w:sz w:val="28"/>
          <w:szCs w:val="28"/>
          <w:lang w:val="en-GB"/>
        </w:rPr>
        <w:t xml:space="preserve">This complicates the assumption that U.S. climate policy would straightforwardly lower global oil </w:t>
      </w:r>
      <w:r w:rsidR="00006F9C" w:rsidRPr="00860961">
        <w:rPr>
          <w:rFonts w:ascii="Times New Roman" w:hAnsi="Times New Roman" w:cs="Times New Roman"/>
          <w:sz w:val="28"/>
          <w:szCs w:val="28"/>
          <w:lang w:val="en-GB"/>
        </w:rPr>
        <w:t>prices</w:t>
      </w:r>
      <w:r w:rsidR="00006F9C">
        <w:rPr>
          <w:rFonts w:ascii="Times New Roman" w:hAnsi="Times New Roman" w:cs="Times New Roman"/>
          <w:sz w:val="28"/>
          <w:szCs w:val="28"/>
          <w:lang w:val="en-GB"/>
        </w:rPr>
        <w:t>, although it was empirically demonstrated.</w:t>
      </w:r>
      <w:commentRangeEnd w:id="13"/>
      <w:r w:rsidR="005B1C61">
        <w:rPr>
          <w:rStyle w:val="CommentReference"/>
        </w:rPr>
        <w:commentReference w:id="13"/>
      </w:r>
    </w:p>
    <w:p w14:paraId="4FF3BB80" w14:textId="2EB47146" w:rsidR="00BA6229" w:rsidRDefault="001E18C2" w:rsidP="003D4B27">
      <w:pPr>
        <w:rPr>
          <w:rFonts w:ascii="Times New Roman" w:hAnsi="Times New Roman" w:cs="Times New Roman"/>
          <w:sz w:val="28"/>
          <w:szCs w:val="28"/>
          <w:lang w:val="en-GB"/>
        </w:rPr>
      </w:pPr>
      <w:r>
        <w:rPr>
          <w:rFonts w:ascii="Times New Roman" w:hAnsi="Times New Roman" w:cs="Times New Roman"/>
          <w:sz w:val="28"/>
          <w:szCs w:val="28"/>
          <w:lang w:val="en-GB"/>
        </w:rPr>
        <w:t>Even</w:t>
      </w:r>
      <w:r w:rsidR="00BA6229">
        <w:rPr>
          <w:rFonts w:ascii="Times New Roman" w:hAnsi="Times New Roman" w:cs="Times New Roman"/>
          <w:sz w:val="28"/>
          <w:szCs w:val="28"/>
          <w:lang w:val="en-GB"/>
        </w:rPr>
        <w:t xml:space="preserve"> the use of the S&amp;P500 index as market control might not be accurate: it should be adjusted with other indicators such as the inflation rates and interest rates.</w:t>
      </w:r>
    </w:p>
    <w:p w14:paraId="4C04423E" w14:textId="29747D7A" w:rsidR="00DF70AF" w:rsidRDefault="00DF70AF" w:rsidP="003D4B27">
      <w:pPr>
        <w:rPr>
          <w:rFonts w:ascii="Times New Roman" w:hAnsi="Times New Roman" w:cs="Times New Roman"/>
          <w:sz w:val="28"/>
          <w:szCs w:val="28"/>
          <w:lang w:val="en-GB"/>
        </w:rPr>
      </w:pPr>
      <w:r w:rsidRPr="00112EF2">
        <w:rPr>
          <w:rFonts w:ascii="Times New Roman" w:hAnsi="Times New Roman" w:cs="Times New Roman"/>
          <w:sz w:val="28"/>
          <w:szCs w:val="28"/>
          <w:lang w:val="en-GB"/>
        </w:rPr>
        <w:t>Additionally, their assumption that U.S. climate policy will likely lead other countries to adopt similar policies overestimates the US</w:t>
      </w:r>
      <w:r>
        <w:rPr>
          <w:rFonts w:ascii="Times New Roman" w:hAnsi="Times New Roman" w:cs="Times New Roman"/>
          <w:sz w:val="28"/>
          <w:szCs w:val="28"/>
          <w:lang w:val="en-GB"/>
        </w:rPr>
        <w:t>’</w:t>
      </w:r>
      <w:r w:rsidRPr="00112EF2">
        <w:rPr>
          <w:rFonts w:ascii="Times New Roman" w:hAnsi="Times New Roman" w:cs="Times New Roman"/>
          <w:sz w:val="28"/>
          <w:szCs w:val="28"/>
          <w:lang w:val="en-GB"/>
        </w:rPr>
        <w:t xml:space="preserve">s influence and underestimates the potential for free riding by non-participating nations. Incorporating </w:t>
      </w:r>
      <w:r>
        <w:rPr>
          <w:rFonts w:ascii="Times New Roman" w:hAnsi="Times New Roman" w:cs="Times New Roman"/>
          <w:sz w:val="28"/>
          <w:szCs w:val="28"/>
          <w:lang w:val="en-GB"/>
        </w:rPr>
        <w:t xml:space="preserve">a more accurate </w:t>
      </w:r>
      <w:r w:rsidRPr="00112EF2">
        <w:rPr>
          <w:rFonts w:ascii="Times New Roman" w:hAnsi="Times New Roman" w:cs="Times New Roman"/>
          <w:sz w:val="28"/>
          <w:szCs w:val="28"/>
          <w:lang w:val="en-GB"/>
        </w:rPr>
        <w:t xml:space="preserve">international </w:t>
      </w:r>
      <w:r>
        <w:rPr>
          <w:rFonts w:ascii="Times New Roman" w:hAnsi="Times New Roman" w:cs="Times New Roman"/>
          <w:sz w:val="28"/>
          <w:szCs w:val="28"/>
          <w:lang w:val="en-GB"/>
        </w:rPr>
        <w:t>analysis</w:t>
      </w:r>
      <w:r w:rsidRPr="00112EF2">
        <w:rPr>
          <w:rFonts w:ascii="Times New Roman" w:hAnsi="Times New Roman" w:cs="Times New Roman"/>
          <w:sz w:val="28"/>
          <w:szCs w:val="28"/>
          <w:lang w:val="en-GB"/>
        </w:rPr>
        <w:t xml:space="preserve"> would enhance the global applicability of their study</w:t>
      </w:r>
      <w:r>
        <w:rPr>
          <w:rFonts w:ascii="Times New Roman" w:hAnsi="Times New Roman" w:cs="Times New Roman"/>
          <w:sz w:val="28"/>
          <w:szCs w:val="28"/>
          <w:lang w:val="en-GB"/>
        </w:rPr>
        <w:t xml:space="preserve">, without relying only on the </w:t>
      </w:r>
      <w:r w:rsidR="002F53BE">
        <w:rPr>
          <w:rFonts w:ascii="Times New Roman" w:hAnsi="Times New Roman" w:cs="Times New Roman"/>
          <w:sz w:val="28"/>
          <w:szCs w:val="28"/>
          <w:lang w:val="en-GB"/>
        </w:rPr>
        <w:t>information-based indexes and oil prices</w:t>
      </w:r>
      <w:r>
        <w:rPr>
          <w:rFonts w:ascii="Times New Roman" w:hAnsi="Times New Roman" w:cs="Times New Roman"/>
          <w:sz w:val="28"/>
          <w:szCs w:val="28"/>
          <w:lang w:val="en-GB"/>
        </w:rPr>
        <w:t>.</w:t>
      </w:r>
    </w:p>
    <w:p w14:paraId="7674F7B3" w14:textId="77777777" w:rsidR="00A276AA" w:rsidRPr="00112EF2" w:rsidRDefault="00A276AA" w:rsidP="003D4B27">
      <w:pPr>
        <w:rPr>
          <w:rFonts w:ascii="Times New Roman" w:hAnsi="Times New Roman" w:cs="Times New Roman"/>
          <w:lang w:val="en-GB"/>
        </w:rPr>
      </w:pPr>
    </w:p>
    <w:p w14:paraId="30F42CC9" w14:textId="77777777" w:rsidR="00C57D5F" w:rsidRDefault="00C57D5F" w:rsidP="003D4B27">
      <w:pPr>
        <w:pStyle w:val="Subtitle"/>
        <w:rPr>
          <w:rFonts w:ascii="Times New Roman" w:hAnsi="Times New Roman" w:cs="Times New Roman"/>
          <w:lang w:val="en-GB"/>
        </w:rPr>
      </w:pPr>
    </w:p>
    <w:p w14:paraId="633F686B" w14:textId="77777777" w:rsidR="00C57D5F" w:rsidRDefault="00C57D5F" w:rsidP="003D4B27">
      <w:pPr>
        <w:pStyle w:val="Subtitle"/>
        <w:rPr>
          <w:rFonts w:ascii="Times New Roman" w:hAnsi="Times New Roman" w:cs="Times New Roman"/>
          <w:lang w:val="en-GB"/>
        </w:rPr>
      </w:pPr>
    </w:p>
    <w:p w14:paraId="16BC6C03" w14:textId="77777777" w:rsidR="00C57D5F" w:rsidRDefault="00C57D5F" w:rsidP="003D4B27">
      <w:pPr>
        <w:pStyle w:val="Subtitle"/>
        <w:rPr>
          <w:rFonts w:ascii="Times New Roman" w:hAnsi="Times New Roman" w:cs="Times New Roman"/>
          <w:lang w:val="en-GB"/>
        </w:rPr>
      </w:pPr>
    </w:p>
    <w:p w14:paraId="401CA0C1" w14:textId="77777777" w:rsidR="00B0523D" w:rsidRDefault="00B0523D" w:rsidP="003D4B27">
      <w:pPr>
        <w:pStyle w:val="Subtitle"/>
        <w:rPr>
          <w:rFonts w:ascii="Times New Roman" w:hAnsi="Times New Roman" w:cs="Times New Roman"/>
          <w:lang w:val="en-GB"/>
        </w:rPr>
      </w:pPr>
    </w:p>
    <w:p w14:paraId="0515F4BD" w14:textId="77777777" w:rsidR="00B0523D" w:rsidRDefault="00B0523D" w:rsidP="003D4B27">
      <w:pPr>
        <w:pStyle w:val="Subtitle"/>
        <w:rPr>
          <w:rFonts w:ascii="Times New Roman" w:hAnsi="Times New Roman" w:cs="Times New Roman"/>
          <w:lang w:val="en-GB"/>
        </w:rPr>
      </w:pPr>
    </w:p>
    <w:p w14:paraId="51935870" w14:textId="254FE521" w:rsidR="00D10B00" w:rsidRPr="00112EF2" w:rsidRDefault="00D10B00" w:rsidP="003D4B27">
      <w:pPr>
        <w:pStyle w:val="Subtitle"/>
        <w:rPr>
          <w:rFonts w:ascii="Times New Roman" w:hAnsi="Times New Roman" w:cs="Times New Roman"/>
          <w:lang w:val="en-GB"/>
        </w:rPr>
      </w:pPr>
      <w:r w:rsidRPr="00112EF2">
        <w:rPr>
          <w:rFonts w:ascii="Times New Roman" w:hAnsi="Times New Roman" w:cs="Times New Roman"/>
          <w:lang w:val="en-GB"/>
        </w:rPr>
        <w:lastRenderedPageBreak/>
        <w:t>Conclusions</w:t>
      </w:r>
    </w:p>
    <w:p w14:paraId="21237464" w14:textId="27ADF16A" w:rsidR="001743C0" w:rsidRDefault="00D10B00" w:rsidP="003D4B27">
      <w:pPr>
        <w:rPr>
          <w:rFonts w:ascii="Times New Roman" w:hAnsi="Times New Roman" w:cs="Times New Roman"/>
          <w:sz w:val="28"/>
          <w:szCs w:val="28"/>
          <w:lang w:val="en-GB"/>
        </w:rPr>
      </w:pPr>
      <w:r w:rsidRPr="00D10B00">
        <w:rPr>
          <w:rFonts w:ascii="Times New Roman" w:hAnsi="Times New Roman" w:cs="Times New Roman"/>
          <w:sz w:val="28"/>
          <w:szCs w:val="28"/>
          <w:lang w:val="en-GB"/>
        </w:rPr>
        <w:t xml:space="preserve">This study highlights the </w:t>
      </w:r>
      <w:r w:rsidR="0080753B" w:rsidRPr="00112EF2">
        <w:rPr>
          <w:rFonts w:ascii="Times New Roman" w:hAnsi="Times New Roman" w:cs="Times New Roman"/>
          <w:sz w:val="28"/>
          <w:szCs w:val="28"/>
          <w:lang w:val="en-GB"/>
        </w:rPr>
        <w:t>“</w:t>
      </w:r>
      <w:r w:rsidRPr="00D10B00">
        <w:rPr>
          <w:rFonts w:ascii="Times New Roman" w:hAnsi="Times New Roman" w:cs="Times New Roman"/>
          <w:sz w:val="28"/>
          <w:szCs w:val="28"/>
          <w:lang w:val="en-GB"/>
        </w:rPr>
        <w:t>Green Paradox</w:t>
      </w:r>
      <w:r w:rsidR="0080753B" w:rsidRPr="00112EF2">
        <w:rPr>
          <w:rFonts w:ascii="Times New Roman" w:hAnsi="Times New Roman" w:cs="Times New Roman"/>
          <w:sz w:val="28"/>
          <w:szCs w:val="28"/>
          <w:lang w:val="en-GB"/>
        </w:rPr>
        <w:t>”</w:t>
      </w:r>
      <w:r w:rsidRPr="00D10B00">
        <w:rPr>
          <w:rFonts w:ascii="Times New Roman" w:hAnsi="Times New Roman" w:cs="Times New Roman"/>
          <w:sz w:val="28"/>
          <w:szCs w:val="28"/>
          <w:lang w:val="en-GB"/>
        </w:rPr>
        <w:t xml:space="preserve"> illustrating how environmental policies can unintentionally lead to lower oil prices and accelerate resource depletion in the short term, particularly before their implementation</w:t>
      </w:r>
      <w:r w:rsidR="00367CC6">
        <w:rPr>
          <w:rFonts w:ascii="Times New Roman" w:hAnsi="Times New Roman" w:cs="Times New Roman"/>
          <w:sz w:val="28"/>
          <w:szCs w:val="28"/>
          <w:lang w:val="en-GB"/>
        </w:rPr>
        <w:t>.</w:t>
      </w:r>
    </w:p>
    <w:p w14:paraId="0D7758C1" w14:textId="723A0515" w:rsidR="001363B4" w:rsidRPr="00112EF2" w:rsidRDefault="00D10B00" w:rsidP="003D4B27">
      <w:pPr>
        <w:rPr>
          <w:rFonts w:ascii="Times New Roman" w:hAnsi="Times New Roman" w:cs="Times New Roman"/>
          <w:sz w:val="28"/>
          <w:szCs w:val="28"/>
          <w:lang w:val="en-GB"/>
        </w:rPr>
      </w:pPr>
      <w:r w:rsidRPr="00D10B00">
        <w:rPr>
          <w:rFonts w:ascii="Times New Roman" w:hAnsi="Times New Roman" w:cs="Times New Roman"/>
          <w:sz w:val="28"/>
          <w:szCs w:val="28"/>
          <w:lang w:val="en-GB"/>
        </w:rPr>
        <w:t xml:space="preserve">Future research should adopt more </w:t>
      </w:r>
      <w:r w:rsidR="00C45A1D">
        <w:rPr>
          <w:rFonts w:ascii="Times New Roman" w:hAnsi="Times New Roman" w:cs="Times New Roman"/>
          <w:sz w:val="28"/>
          <w:szCs w:val="28"/>
          <w:lang w:val="en-GB"/>
        </w:rPr>
        <w:t>sophisticated models</w:t>
      </w:r>
      <w:r w:rsidRPr="00D10B00">
        <w:rPr>
          <w:rFonts w:ascii="Times New Roman" w:hAnsi="Times New Roman" w:cs="Times New Roman"/>
          <w:sz w:val="28"/>
          <w:szCs w:val="28"/>
          <w:lang w:val="en-GB"/>
        </w:rPr>
        <w:t xml:space="preserve">, incorporating factors like rising extraction costs, </w:t>
      </w:r>
      <w:r w:rsidR="001743C0">
        <w:rPr>
          <w:rFonts w:ascii="Times New Roman" w:hAnsi="Times New Roman" w:cs="Times New Roman"/>
          <w:sz w:val="28"/>
          <w:szCs w:val="28"/>
          <w:lang w:val="en-GB"/>
        </w:rPr>
        <w:t xml:space="preserve">analyse directly the </w:t>
      </w:r>
      <w:r w:rsidRPr="00D10B00">
        <w:rPr>
          <w:rFonts w:ascii="Times New Roman" w:hAnsi="Times New Roman" w:cs="Times New Roman"/>
          <w:sz w:val="28"/>
          <w:szCs w:val="28"/>
          <w:lang w:val="en-GB"/>
        </w:rPr>
        <w:t xml:space="preserve">cumulative emissions and the strategic </w:t>
      </w:r>
      <w:r w:rsidRPr="00112EF2">
        <w:rPr>
          <w:rFonts w:ascii="Times New Roman" w:hAnsi="Times New Roman" w:cs="Times New Roman"/>
          <w:sz w:val="28"/>
          <w:szCs w:val="28"/>
          <w:lang w:val="en-GB"/>
        </w:rPr>
        <w:t>behaviour</w:t>
      </w:r>
      <w:r w:rsidRPr="00D10B00">
        <w:rPr>
          <w:rFonts w:ascii="Times New Roman" w:hAnsi="Times New Roman" w:cs="Times New Roman"/>
          <w:sz w:val="28"/>
          <w:szCs w:val="28"/>
          <w:lang w:val="en-GB"/>
        </w:rPr>
        <w:t xml:space="preserve"> of key players in an oligopolistic market.</w:t>
      </w:r>
    </w:p>
    <w:p w14:paraId="5706654F" w14:textId="5D098E28" w:rsidR="00D10B00" w:rsidRPr="00D10B00" w:rsidRDefault="00D10B00" w:rsidP="003D4B27">
      <w:pPr>
        <w:rPr>
          <w:rFonts w:ascii="Times New Roman" w:hAnsi="Times New Roman" w:cs="Times New Roman"/>
          <w:sz w:val="28"/>
          <w:szCs w:val="28"/>
          <w:lang w:val="en-GB"/>
        </w:rPr>
      </w:pPr>
      <w:r w:rsidRPr="00D10B00">
        <w:rPr>
          <w:rFonts w:ascii="Times New Roman" w:hAnsi="Times New Roman" w:cs="Times New Roman"/>
          <w:sz w:val="28"/>
          <w:szCs w:val="28"/>
          <w:lang w:val="en-GB"/>
        </w:rPr>
        <w:t xml:space="preserve">Expanding the analysis to </w:t>
      </w:r>
      <w:r w:rsidR="00EB4D2D">
        <w:rPr>
          <w:rFonts w:ascii="Times New Roman" w:hAnsi="Times New Roman" w:cs="Times New Roman"/>
          <w:sz w:val="28"/>
          <w:szCs w:val="28"/>
          <w:lang w:val="en-GB"/>
        </w:rPr>
        <w:t xml:space="preserve">other </w:t>
      </w:r>
      <w:r w:rsidRPr="00D10B00">
        <w:rPr>
          <w:rFonts w:ascii="Times New Roman" w:hAnsi="Times New Roman" w:cs="Times New Roman"/>
          <w:sz w:val="28"/>
          <w:szCs w:val="28"/>
          <w:lang w:val="en-GB"/>
        </w:rPr>
        <w:t>global case studies with a broader time</w:t>
      </w:r>
      <w:r w:rsidR="00D97F77">
        <w:rPr>
          <w:rFonts w:ascii="Times New Roman" w:hAnsi="Times New Roman" w:cs="Times New Roman"/>
          <w:sz w:val="28"/>
          <w:szCs w:val="28"/>
          <w:lang w:val="en-GB"/>
        </w:rPr>
        <w:t xml:space="preserve"> frame</w:t>
      </w:r>
      <w:r w:rsidRPr="00D10B00">
        <w:rPr>
          <w:rFonts w:ascii="Times New Roman" w:hAnsi="Times New Roman" w:cs="Times New Roman"/>
          <w:sz w:val="28"/>
          <w:szCs w:val="28"/>
          <w:lang w:val="en-GB"/>
        </w:rPr>
        <w:t xml:space="preserve"> would further enhance its applicability</w:t>
      </w:r>
      <w:r w:rsidR="00D97F77">
        <w:rPr>
          <w:rFonts w:ascii="Times New Roman" w:hAnsi="Times New Roman" w:cs="Times New Roman"/>
          <w:sz w:val="28"/>
          <w:szCs w:val="28"/>
          <w:lang w:val="en-GB"/>
        </w:rPr>
        <w:t>.</w:t>
      </w:r>
    </w:p>
    <w:p w14:paraId="477F7B42" w14:textId="14292DC0" w:rsidR="00D912B0" w:rsidRDefault="00D10B00" w:rsidP="003D4B27">
      <w:pPr>
        <w:rPr>
          <w:rFonts w:ascii="Times New Roman" w:hAnsi="Times New Roman" w:cs="Times New Roman"/>
          <w:sz w:val="28"/>
          <w:szCs w:val="28"/>
          <w:lang w:val="en-GB"/>
        </w:rPr>
      </w:pPr>
      <w:r w:rsidRPr="00D10B00">
        <w:rPr>
          <w:rFonts w:ascii="Times New Roman" w:hAnsi="Times New Roman" w:cs="Times New Roman"/>
          <w:sz w:val="28"/>
          <w:szCs w:val="28"/>
          <w:lang w:val="en-GB"/>
        </w:rPr>
        <w:t>Overall, this study contributes to the debate on climate policy effectiveness and lays the groundwork for refining sustainable environmental strategies</w:t>
      </w:r>
      <w:r w:rsidR="001743C0">
        <w:rPr>
          <w:rFonts w:ascii="Times New Roman" w:hAnsi="Times New Roman" w:cs="Times New Roman"/>
          <w:sz w:val="28"/>
          <w:szCs w:val="28"/>
          <w:lang w:val="en-GB"/>
        </w:rPr>
        <w:t>.</w:t>
      </w:r>
    </w:p>
    <w:p w14:paraId="41852747" w14:textId="1EFE9650" w:rsidR="00B579C6" w:rsidRPr="00112EF2" w:rsidRDefault="00B579C6" w:rsidP="003D4B27">
      <w:pPr>
        <w:rPr>
          <w:rFonts w:ascii="Times New Roman" w:hAnsi="Times New Roman" w:cs="Times New Roman"/>
          <w:sz w:val="28"/>
          <w:szCs w:val="28"/>
          <w:lang w:val="en-GB"/>
        </w:rPr>
      </w:pPr>
      <w:r>
        <w:rPr>
          <w:rFonts w:ascii="Times New Roman" w:hAnsi="Times New Roman" w:cs="Times New Roman"/>
          <w:sz w:val="28"/>
          <w:szCs w:val="28"/>
          <w:lang w:val="en-GB"/>
        </w:rPr>
        <w:t>Implementing this evidence with a dynamic integrated climate-economy model could help the decisionmaker to understand under different policy scenarios to find the optimal level of emission reductions over time, balancing the costs of mitigations with benefits from avoiding damages of climate changes</w:t>
      </w:r>
      <w:r w:rsidR="007036E6">
        <w:rPr>
          <w:rFonts w:ascii="Times New Roman" w:hAnsi="Times New Roman" w:cs="Times New Roman"/>
          <w:sz w:val="28"/>
          <w:szCs w:val="28"/>
          <w:lang w:val="en-GB"/>
        </w:rPr>
        <w:t xml:space="preserve"> and mitigating the Green Paradox effects.</w:t>
      </w:r>
    </w:p>
    <w:sectPr w:rsidR="00B579C6" w:rsidRPr="00112EF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o Samuli Jaakkola" w:date="2025-01-24T15:01:00Z" w:initials="NJ">
    <w:p w14:paraId="2A1D6A19" w14:textId="77777777" w:rsidR="00E43C01" w:rsidRDefault="00E43C01" w:rsidP="00E43C01">
      <w:pPr>
        <w:pStyle w:val="CommentText"/>
      </w:pPr>
      <w:r>
        <w:rPr>
          <w:rStyle w:val="CommentReference"/>
        </w:rPr>
        <w:annotationRef/>
      </w:r>
      <w:r>
        <w:rPr>
          <w:lang w:val="en-GB"/>
        </w:rPr>
        <w:t>Overall very ambitious – great that you go into detail and suggest actual, concrete improvements to the paper. Not all these are on the mark but they’re all reasonable suggestions. For the precision and the technical approach, I will give you 30.</w:t>
      </w:r>
    </w:p>
  </w:comment>
  <w:comment w:id="1" w:author="Niko Samuli Jaakkola" w:date="2025-01-24T14:32:00Z" w:initials="NJ">
    <w:p w14:paraId="397E9556" w14:textId="2ACD0367" w:rsidR="00CD3C82" w:rsidRDefault="00CD3C82" w:rsidP="00CD3C82">
      <w:pPr>
        <w:pStyle w:val="CommentText"/>
      </w:pPr>
      <w:r>
        <w:rPr>
          <w:rStyle w:val="CommentReference"/>
        </w:rPr>
        <w:annotationRef/>
      </w:r>
      <w:r>
        <w:rPr>
          <w:lang w:val="en-GB"/>
        </w:rPr>
        <w:t>What is the mechanism leading to lower short-run oil prices? (Supply responses)</w:t>
      </w:r>
    </w:p>
  </w:comment>
  <w:comment w:id="2" w:author="Niko Samuli Jaakkola" w:date="2025-01-24T14:37:00Z" w:initials="NJ">
    <w:p w14:paraId="4378793C" w14:textId="77777777" w:rsidR="00CD3C82" w:rsidRDefault="00CD3C82" w:rsidP="00CD3C82">
      <w:pPr>
        <w:pStyle w:val="CommentText"/>
      </w:pPr>
      <w:r>
        <w:rPr>
          <w:rStyle w:val="CommentReference"/>
        </w:rPr>
        <w:annotationRef/>
      </w:r>
      <w:r>
        <w:rPr>
          <w:lang w:val="en-GB"/>
        </w:rPr>
        <w:t>Rather, ‘endogenous’</w:t>
      </w:r>
    </w:p>
  </w:comment>
  <w:comment w:id="3" w:author="Niko Samuli Jaakkola" w:date="2025-01-24T14:38:00Z" w:initials="NJ">
    <w:p w14:paraId="29398615" w14:textId="77777777" w:rsidR="00CD3C82" w:rsidRDefault="00CD3C82" w:rsidP="00CD3C82">
      <w:pPr>
        <w:pStyle w:val="CommentText"/>
      </w:pPr>
      <w:r>
        <w:rPr>
          <w:rStyle w:val="CommentReference"/>
        </w:rPr>
        <w:annotationRef/>
      </w:r>
      <w:r>
        <w:rPr>
          <w:lang w:val="en-GB"/>
        </w:rPr>
        <w:t>OK, this and the previous paragraphs are good</w:t>
      </w:r>
    </w:p>
  </w:comment>
  <w:comment w:id="4" w:author="Niko Samuli Jaakkola" w:date="2025-01-24T14:39:00Z" w:initials="NJ">
    <w:p w14:paraId="3FE40435" w14:textId="77777777" w:rsidR="0001219A" w:rsidRDefault="0001219A" w:rsidP="0001219A">
      <w:pPr>
        <w:pStyle w:val="CommentText"/>
      </w:pPr>
      <w:r>
        <w:rPr>
          <w:rStyle w:val="CommentReference"/>
        </w:rPr>
        <w:annotationRef/>
      </w:r>
      <w:r>
        <w:rPr>
          <w:lang w:val="en-GB"/>
        </w:rPr>
        <w:t>On the other hand that is not their point. And they couldn’t do this – they are simply trying to uncover evidence based on current data which either supports (or not) the green paradox hypothesis. To consider cumulative emissions they would need to make assumptions on future policies etc. and that is simply not the point of their paper.</w:t>
      </w:r>
    </w:p>
  </w:comment>
  <w:comment w:id="5" w:author="Niko Samuli Jaakkola" w:date="2025-01-24T14:42:00Z" w:initials="NJ">
    <w:p w14:paraId="79B50978" w14:textId="77777777" w:rsidR="00E56EFC" w:rsidRDefault="00E56EFC" w:rsidP="00E56EFC">
      <w:pPr>
        <w:pStyle w:val="CommentText"/>
      </w:pPr>
      <w:r>
        <w:rPr>
          <w:rStyle w:val="CommentReference"/>
        </w:rPr>
        <w:annotationRef/>
      </w:r>
      <w:r>
        <w:rPr>
          <w:lang w:val="en-GB"/>
        </w:rPr>
        <w:t>No! They do not look at the extraction rate, nor the actual usage. Just prices – and then storage, to see how storage responds to prices (to infer whether price movements are because of demand or supply).</w:t>
      </w:r>
    </w:p>
  </w:comment>
  <w:comment w:id="6" w:author="Niko Samuli Jaakkola" w:date="2025-01-24T14:43:00Z" w:initials="NJ">
    <w:p w14:paraId="2AADC4F6" w14:textId="77777777" w:rsidR="00AA351F" w:rsidRDefault="00AA351F" w:rsidP="00AA351F">
      <w:pPr>
        <w:pStyle w:val="CommentText"/>
      </w:pPr>
      <w:r>
        <w:rPr>
          <w:rStyle w:val="CommentReference"/>
        </w:rPr>
        <w:annotationRef/>
      </w:r>
      <w:r>
        <w:rPr>
          <w:lang w:val="en-GB"/>
        </w:rPr>
        <w:t>Except for the above comment, the discussion here is fine.</w:t>
      </w:r>
    </w:p>
  </w:comment>
  <w:comment w:id="7" w:author="Niko Samuli Jaakkola" w:date="2025-01-24T14:45:00Z" w:initials="NJ">
    <w:p w14:paraId="438783AC" w14:textId="77777777" w:rsidR="00362947" w:rsidRDefault="00362947" w:rsidP="00362947">
      <w:pPr>
        <w:pStyle w:val="CommentText"/>
      </w:pPr>
      <w:r>
        <w:rPr>
          <w:rStyle w:val="CommentReference"/>
        </w:rPr>
        <w:annotationRef/>
      </w:r>
      <w:r>
        <w:rPr>
          <w:lang w:val="en-GB"/>
        </w:rPr>
        <w:t>“in month m(t)” – not measured in months!</w:t>
      </w:r>
    </w:p>
  </w:comment>
  <w:comment w:id="8" w:author="Niko Samuli Jaakkola" w:date="2025-01-24T14:48:00Z" w:initials="NJ">
    <w:p w14:paraId="3A98E137" w14:textId="77777777" w:rsidR="00362947" w:rsidRDefault="00362947" w:rsidP="00362947">
      <w:pPr>
        <w:pStyle w:val="CommentText"/>
      </w:pPr>
      <w:r>
        <w:rPr>
          <w:rStyle w:val="CommentReference"/>
        </w:rPr>
        <w:annotationRef/>
      </w:r>
      <w:r>
        <w:rPr>
          <w:lang w:val="en-GB"/>
        </w:rPr>
        <w:t>Yes for sure. However, the dependent variable here is oil futures prices. Why would these not be priced in immediately? As market actors can figure out that these delayed effects exist and thus they should price them into futures prices immediately. (If you can figure it out, Unicredit can too!)</w:t>
      </w:r>
    </w:p>
  </w:comment>
  <w:comment w:id="9" w:author="Niko Samuli Jaakkola" w:date="2025-01-24T14:51:00Z" w:initials="NJ">
    <w:p w14:paraId="728E3B46" w14:textId="77777777" w:rsidR="00B91D23" w:rsidRDefault="00B91D23" w:rsidP="00B91D23">
      <w:pPr>
        <w:pStyle w:val="CommentText"/>
      </w:pPr>
      <w:r>
        <w:rPr>
          <w:rStyle w:val="CommentReference"/>
        </w:rPr>
        <w:annotationRef/>
      </w:r>
      <w:r>
        <w:rPr>
          <w:lang w:val="en-GB"/>
        </w:rPr>
        <w:t>OK this I like more. I think there are justifiable reasons to include the interest rate – of course it co-moves with stock indices, but not fully and including the interest rate could say something about the source of the stock price movements. But note also that the interest rate directly affects oil extraction calculations because it is a part of the Hotelling Rule – so that is a further channel why interest rate might be important here!</w:t>
      </w:r>
    </w:p>
  </w:comment>
  <w:comment w:id="10" w:author="Niko Samuli Jaakkola" w:date="2025-01-24T14:53:00Z" w:initials="NJ">
    <w:p w14:paraId="221BFFA0" w14:textId="77777777" w:rsidR="00B66983" w:rsidRDefault="009B69D7" w:rsidP="00B66983">
      <w:pPr>
        <w:pStyle w:val="CommentText"/>
      </w:pPr>
      <w:r>
        <w:rPr>
          <w:rStyle w:val="CommentReference"/>
        </w:rPr>
        <w:annotationRef/>
      </w:r>
      <w:r w:rsidR="00B66983">
        <w:rPr>
          <w:lang w:val="en-GB"/>
        </w:rPr>
        <w:t>I agree we could try to have this, but the question is how exactly do we measure such disruptions? Ah – you do suggest a data source below -- good! A further problem is that some of these are endogenous – i.e. OPEC decisions may be dependent on oil future prices, or something which drives them.</w:t>
      </w:r>
    </w:p>
  </w:comment>
  <w:comment w:id="11" w:author="Niko Samuli Jaakkola" w:date="2025-01-24T14:53:00Z" w:initials="NJ">
    <w:p w14:paraId="11F54D55" w14:textId="4DA84AEF" w:rsidR="009B69D7" w:rsidRDefault="009B69D7" w:rsidP="009B69D7">
      <w:pPr>
        <w:pStyle w:val="CommentText"/>
      </w:pPr>
      <w:r>
        <w:rPr>
          <w:rStyle w:val="CommentReference"/>
        </w:rPr>
        <w:annotationRef/>
      </w:r>
      <w:r>
        <w:rPr>
          <w:lang w:val="en-GB"/>
        </w:rPr>
        <w:t>Not sure what you mean</w:t>
      </w:r>
    </w:p>
  </w:comment>
  <w:comment w:id="12" w:author="Niko Samuli Jaakkola" w:date="2025-01-24T14:59:00Z" w:initials="NJ">
    <w:p w14:paraId="2397EDD2" w14:textId="77777777" w:rsidR="005A6AB3" w:rsidRDefault="005A6AB3" w:rsidP="005A6AB3">
      <w:pPr>
        <w:pStyle w:val="CommentText"/>
      </w:pPr>
      <w:r>
        <w:rPr>
          <w:rStyle w:val="CommentReference"/>
        </w:rPr>
        <w:annotationRef/>
      </w:r>
      <w:r>
        <w:rPr>
          <w:lang w:val="en-GB"/>
        </w:rPr>
        <w:t>Very good point – and a nice reference!</w:t>
      </w:r>
    </w:p>
  </w:comment>
  <w:comment w:id="13" w:author="Niko Samuli Jaakkola" w:date="2025-01-24T14:57:00Z" w:initials="NJ">
    <w:p w14:paraId="675ACDFF" w14:textId="4182EF0B" w:rsidR="005B1C61" w:rsidRDefault="005B1C61" w:rsidP="005B1C61">
      <w:pPr>
        <w:pStyle w:val="CommentText"/>
      </w:pPr>
      <w:r>
        <w:rPr>
          <w:rStyle w:val="CommentReference"/>
        </w:rPr>
        <w:annotationRef/>
      </w:r>
      <w:r>
        <w:rPr>
          <w:lang w:val="en-GB"/>
        </w:rPr>
        <w:t>Very nice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1D6A19" w15:done="0"/>
  <w15:commentEx w15:paraId="397E9556" w15:done="0"/>
  <w15:commentEx w15:paraId="4378793C" w15:done="0"/>
  <w15:commentEx w15:paraId="29398615" w15:done="0"/>
  <w15:commentEx w15:paraId="3FE40435" w15:done="0"/>
  <w15:commentEx w15:paraId="79B50978" w15:done="0"/>
  <w15:commentEx w15:paraId="2AADC4F6" w15:done="0"/>
  <w15:commentEx w15:paraId="438783AC" w15:done="0"/>
  <w15:commentEx w15:paraId="3A98E137" w15:done="0"/>
  <w15:commentEx w15:paraId="728E3B46" w15:done="0"/>
  <w15:commentEx w15:paraId="221BFFA0" w15:done="0"/>
  <w15:commentEx w15:paraId="11F54D55" w15:done="0"/>
  <w15:commentEx w15:paraId="2397EDD2" w15:done="0"/>
  <w15:commentEx w15:paraId="675ACD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4A56F6" w16cex:dateUtc="2025-01-24T13:01:00Z"/>
  <w16cex:commentExtensible w16cex:durableId="55129DEA" w16cex:dateUtc="2025-01-24T12:32:00Z"/>
  <w16cex:commentExtensible w16cex:durableId="197428B4" w16cex:dateUtc="2025-01-24T12:37:00Z"/>
  <w16cex:commentExtensible w16cex:durableId="0DBC0F71" w16cex:dateUtc="2025-01-24T12:38:00Z"/>
  <w16cex:commentExtensible w16cex:durableId="03D067C4" w16cex:dateUtc="2025-01-24T12:39:00Z"/>
  <w16cex:commentExtensible w16cex:durableId="15A5152E" w16cex:dateUtc="2025-01-24T12:42:00Z"/>
  <w16cex:commentExtensible w16cex:durableId="0280BF0A" w16cex:dateUtc="2025-01-24T12:43:00Z"/>
  <w16cex:commentExtensible w16cex:durableId="30BAD244" w16cex:dateUtc="2025-01-24T12:45:00Z"/>
  <w16cex:commentExtensible w16cex:durableId="424F399F" w16cex:dateUtc="2025-01-24T12:48:00Z"/>
  <w16cex:commentExtensible w16cex:durableId="3FF3778E" w16cex:dateUtc="2025-01-24T12:51:00Z"/>
  <w16cex:commentExtensible w16cex:durableId="4F84EC74" w16cex:dateUtc="2025-01-24T12:53:00Z"/>
  <w16cex:commentExtensible w16cex:durableId="36E898EB" w16cex:dateUtc="2025-01-24T12:53:00Z"/>
  <w16cex:commentExtensible w16cex:durableId="71F6D858" w16cex:dateUtc="2025-01-24T12:59:00Z"/>
  <w16cex:commentExtensible w16cex:durableId="3620E41B" w16cex:dateUtc="2025-01-24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1D6A19" w16cid:durableId="764A56F6"/>
  <w16cid:commentId w16cid:paraId="397E9556" w16cid:durableId="55129DEA"/>
  <w16cid:commentId w16cid:paraId="4378793C" w16cid:durableId="197428B4"/>
  <w16cid:commentId w16cid:paraId="29398615" w16cid:durableId="0DBC0F71"/>
  <w16cid:commentId w16cid:paraId="3FE40435" w16cid:durableId="03D067C4"/>
  <w16cid:commentId w16cid:paraId="79B50978" w16cid:durableId="15A5152E"/>
  <w16cid:commentId w16cid:paraId="2AADC4F6" w16cid:durableId="0280BF0A"/>
  <w16cid:commentId w16cid:paraId="438783AC" w16cid:durableId="30BAD244"/>
  <w16cid:commentId w16cid:paraId="3A98E137" w16cid:durableId="424F399F"/>
  <w16cid:commentId w16cid:paraId="728E3B46" w16cid:durableId="3FF3778E"/>
  <w16cid:commentId w16cid:paraId="221BFFA0" w16cid:durableId="4F84EC74"/>
  <w16cid:commentId w16cid:paraId="11F54D55" w16cid:durableId="36E898EB"/>
  <w16cid:commentId w16cid:paraId="2397EDD2" w16cid:durableId="71F6D858"/>
  <w16cid:commentId w16cid:paraId="675ACDFF" w16cid:durableId="3620E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3701" w14:textId="77777777" w:rsidR="008E0E71" w:rsidRDefault="008E0E71" w:rsidP="00CC64D5">
      <w:pPr>
        <w:spacing w:after="0" w:line="240" w:lineRule="auto"/>
      </w:pPr>
      <w:r>
        <w:separator/>
      </w:r>
    </w:p>
  </w:endnote>
  <w:endnote w:type="continuationSeparator" w:id="0">
    <w:p w14:paraId="0C586308" w14:textId="77777777" w:rsidR="008E0E71" w:rsidRDefault="008E0E71" w:rsidP="00CC6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CE08F" w14:textId="77777777" w:rsidR="008E0E71" w:rsidRDefault="008E0E71" w:rsidP="00CC64D5">
      <w:pPr>
        <w:spacing w:after="0" w:line="240" w:lineRule="auto"/>
      </w:pPr>
      <w:r>
        <w:separator/>
      </w:r>
    </w:p>
  </w:footnote>
  <w:footnote w:type="continuationSeparator" w:id="0">
    <w:p w14:paraId="5013FF35" w14:textId="77777777" w:rsidR="008E0E71" w:rsidRDefault="008E0E71" w:rsidP="00CC64D5">
      <w:pPr>
        <w:spacing w:after="0" w:line="240" w:lineRule="auto"/>
      </w:pPr>
      <w:r>
        <w:continuationSeparator/>
      </w:r>
    </w:p>
  </w:footnote>
  <w:footnote w:id="1">
    <w:p w14:paraId="282B3ADD" w14:textId="77777777" w:rsidR="00112EF2" w:rsidRPr="00CC64D5" w:rsidRDefault="00112EF2" w:rsidP="00112EF2">
      <w:pPr>
        <w:pStyle w:val="FootnoteText"/>
        <w:rPr>
          <w:lang w:val="en-GB"/>
        </w:rPr>
      </w:pPr>
      <w:r>
        <w:rPr>
          <w:rStyle w:val="FootnoteReference"/>
        </w:rPr>
        <w:footnoteRef/>
      </w:r>
      <w:r w:rsidRPr="00CC64D5">
        <w:rPr>
          <w:lang w:val="en-GB"/>
        </w:rPr>
        <w:t xml:space="preserve"> van der Ploeg, Frederick. “Cumulative Carbon Emissions and the Green Paradox.” </w:t>
      </w:r>
      <w:r w:rsidRPr="00CC64D5">
        <w:rPr>
          <w:i/>
          <w:iCs/>
          <w:lang w:val="en-GB"/>
        </w:rPr>
        <w:t>Annual Review of Resource Economics</w:t>
      </w:r>
      <w:r w:rsidRPr="00CC64D5">
        <w:rPr>
          <w:lang w:val="en-GB"/>
        </w:rPr>
        <w:t>, vol. 5, no. 1, June 2013, pp. 281–300</w:t>
      </w:r>
      <w:r>
        <w:rPr>
          <w:lang w:val="en-GB"/>
        </w:rPr>
        <w:t>.</w:t>
      </w:r>
    </w:p>
    <w:p w14:paraId="1D7DFAB1" w14:textId="77777777" w:rsidR="00112EF2" w:rsidRPr="00CC64D5" w:rsidRDefault="00112EF2" w:rsidP="00112EF2">
      <w:pPr>
        <w:pStyle w:val="FootnoteText"/>
        <w:rPr>
          <w:lang w:val="en-GB"/>
        </w:rPr>
      </w:pPr>
    </w:p>
  </w:footnote>
  <w:footnote w:id="2">
    <w:p w14:paraId="46F12E8E" w14:textId="77777777" w:rsidR="0061759C" w:rsidRPr="00B579C6" w:rsidRDefault="0061759C" w:rsidP="0061759C">
      <w:pPr>
        <w:pStyle w:val="FootnoteText"/>
        <w:rPr>
          <w:lang w:val="en-GB"/>
        </w:rPr>
      </w:pPr>
      <w:r>
        <w:rPr>
          <w:rStyle w:val="FootnoteReference"/>
        </w:rPr>
        <w:footnoteRef/>
      </w:r>
      <w:r w:rsidRPr="00B579C6">
        <w:rPr>
          <w:lang w:val="en-GB"/>
        </w:rPr>
        <w:t xml:space="preserve"> Nordhaus, W. D. (2017). The DICE model: Background and structure. In The Economics of Climate Change: The Contribution of William Nordhaus (pp. 85-109). Springer.</w:t>
      </w:r>
    </w:p>
  </w:footnote>
  <w:footnote w:id="3">
    <w:p w14:paraId="140AF584" w14:textId="4A676EF5" w:rsidR="00C57D5F" w:rsidRPr="00AF2757" w:rsidRDefault="00367CC6" w:rsidP="00C57D5F">
      <w:pPr>
        <w:rPr>
          <w:rFonts w:ascii="Times New Roman" w:hAnsi="Times New Roman" w:cs="Times New Roman"/>
          <w:sz w:val="20"/>
          <w:szCs w:val="20"/>
          <w:lang w:val="en-GB"/>
        </w:rPr>
      </w:pPr>
      <w:r>
        <w:rPr>
          <w:rStyle w:val="FootnoteReference"/>
        </w:rPr>
        <w:footnoteRef/>
      </w:r>
      <w:r w:rsidRPr="00367CC6">
        <w:rPr>
          <w:lang w:val="en-GB"/>
        </w:rPr>
        <w:t xml:space="preserve"> </w:t>
      </w:r>
      <w:r w:rsidRPr="00AF2757">
        <w:rPr>
          <w:lang w:val="en-GB"/>
        </w:rPr>
        <w:t xml:space="preserve">Olson, Adam J. and </w:t>
      </w:r>
      <w:proofErr w:type="spellStart"/>
      <w:r w:rsidRPr="00AF2757">
        <w:rPr>
          <w:lang w:val="en-GB"/>
        </w:rPr>
        <w:t>Rajgopal</w:t>
      </w:r>
      <w:proofErr w:type="spellEnd"/>
      <w:r w:rsidRPr="00AF2757">
        <w:rPr>
          <w:lang w:val="en-GB"/>
        </w:rPr>
        <w:t>, Shivaram and Barrick, John, The Use of Prediction Markets and Corporate Lobbying in Climate Policy Research</w:t>
      </w:r>
      <w:r w:rsidR="00C57D5F">
        <w:rPr>
          <w:lang w:val="en-GB"/>
        </w:rPr>
        <w:t xml:space="preserve">: </w:t>
      </w:r>
      <w:r w:rsidR="00C57D5F" w:rsidRPr="00AF2757">
        <w:rPr>
          <w:rFonts w:ascii="Times New Roman" w:hAnsi="Times New Roman" w:cs="Times New Roman"/>
          <w:sz w:val="20"/>
          <w:szCs w:val="20"/>
          <w:lang w:val="en-GB"/>
        </w:rPr>
        <w:t xml:space="preserve">“Given that the </w:t>
      </w:r>
      <w:proofErr w:type="spellStart"/>
      <w:r w:rsidR="00C57D5F" w:rsidRPr="00AF2757">
        <w:rPr>
          <w:rFonts w:ascii="Times New Roman" w:hAnsi="Times New Roman" w:cs="Times New Roman"/>
          <w:sz w:val="20"/>
          <w:szCs w:val="20"/>
          <w:lang w:val="en-GB"/>
        </w:rPr>
        <w:t>Intrade</w:t>
      </w:r>
      <w:proofErr w:type="spellEnd"/>
      <w:r w:rsidR="00C57D5F" w:rsidRPr="00AF2757">
        <w:rPr>
          <w:rFonts w:ascii="Times New Roman" w:hAnsi="Times New Roman" w:cs="Times New Roman"/>
          <w:sz w:val="20"/>
          <w:szCs w:val="20"/>
          <w:lang w:val="en-GB"/>
        </w:rPr>
        <w:t xml:space="preserve"> prediction market was thinly traded, we have concerns about whether this specific </w:t>
      </w:r>
      <w:proofErr w:type="spellStart"/>
      <w:r w:rsidR="00C57D5F" w:rsidRPr="00AF2757">
        <w:rPr>
          <w:rFonts w:ascii="Times New Roman" w:hAnsi="Times New Roman" w:cs="Times New Roman"/>
          <w:sz w:val="20"/>
          <w:szCs w:val="20"/>
          <w:lang w:val="en-GB"/>
        </w:rPr>
        <w:t>Intrade</w:t>
      </w:r>
      <w:proofErr w:type="spellEnd"/>
      <w:r w:rsidR="00C57D5F" w:rsidRPr="00AF2757">
        <w:rPr>
          <w:rFonts w:ascii="Times New Roman" w:hAnsi="Times New Roman" w:cs="Times New Roman"/>
          <w:sz w:val="20"/>
          <w:szCs w:val="20"/>
          <w:lang w:val="en-GB"/>
        </w:rPr>
        <w:t xml:space="preserve"> market meets liquidity standards one would expect for reliable. A market must have three characteristics to be considered liquid: depth, breadth, and resiliency. The </w:t>
      </w:r>
      <w:proofErr w:type="spellStart"/>
      <w:r w:rsidR="00C57D5F" w:rsidRPr="00AF2757">
        <w:rPr>
          <w:rFonts w:ascii="Times New Roman" w:hAnsi="Times New Roman" w:cs="Times New Roman"/>
          <w:sz w:val="20"/>
          <w:szCs w:val="20"/>
          <w:lang w:val="en-GB"/>
        </w:rPr>
        <w:t>Intrade</w:t>
      </w:r>
      <w:proofErr w:type="spellEnd"/>
      <w:r w:rsidR="00C57D5F" w:rsidRPr="00AF2757">
        <w:rPr>
          <w:rFonts w:ascii="Times New Roman" w:hAnsi="Times New Roman" w:cs="Times New Roman"/>
          <w:sz w:val="20"/>
          <w:szCs w:val="20"/>
          <w:lang w:val="en-GB"/>
        </w:rPr>
        <w:t xml:space="preserve"> market for the passage of the Waxman-Markey bill likely falls short of all three requirements and raises concerns regarding market efficiency and accurate price formation. For instance, of the 610 days of </w:t>
      </w:r>
      <w:proofErr w:type="spellStart"/>
      <w:r w:rsidR="00C57D5F" w:rsidRPr="00AF2757">
        <w:rPr>
          <w:rFonts w:ascii="Times New Roman" w:hAnsi="Times New Roman" w:cs="Times New Roman"/>
          <w:sz w:val="20"/>
          <w:szCs w:val="20"/>
          <w:lang w:val="en-GB"/>
        </w:rPr>
        <w:t>Intrade</w:t>
      </w:r>
      <w:proofErr w:type="spellEnd"/>
      <w:r w:rsidR="00C57D5F" w:rsidRPr="00AF2757">
        <w:rPr>
          <w:rFonts w:ascii="Times New Roman" w:hAnsi="Times New Roman" w:cs="Times New Roman"/>
          <w:sz w:val="20"/>
          <w:szCs w:val="20"/>
          <w:lang w:val="en-GB"/>
        </w:rPr>
        <w:t xml:space="preserve"> data the authors obtained, there was no trading activity in 362 days. In the 248 days with trades, the median (mean) volume was 12 (49.2) shares. Further, the price changed only 190 times over the period. Noise driving these results would be consistent with the apparent randomness of MR2019’s winners and losers from the Waxman-Markey bill.”</w:t>
      </w:r>
    </w:p>
    <w:p w14:paraId="06EA78AF" w14:textId="037980DB" w:rsidR="00367CC6" w:rsidRPr="00367CC6" w:rsidRDefault="00367CC6">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6E9"/>
    <w:multiLevelType w:val="multilevel"/>
    <w:tmpl w:val="1BC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02A2"/>
    <w:multiLevelType w:val="hybridMultilevel"/>
    <w:tmpl w:val="B0961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C78B4"/>
    <w:multiLevelType w:val="multilevel"/>
    <w:tmpl w:val="BE1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B35E3"/>
    <w:multiLevelType w:val="multilevel"/>
    <w:tmpl w:val="19BC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3561B"/>
    <w:multiLevelType w:val="multilevel"/>
    <w:tmpl w:val="2BE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56E44"/>
    <w:multiLevelType w:val="multilevel"/>
    <w:tmpl w:val="F5F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114B"/>
    <w:multiLevelType w:val="multilevel"/>
    <w:tmpl w:val="1FA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93364"/>
    <w:multiLevelType w:val="multilevel"/>
    <w:tmpl w:val="829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94707">
    <w:abstractNumId w:val="3"/>
  </w:num>
  <w:num w:numId="2" w16cid:durableId="2038309047">
    <w:abstractNumId w:val="6"/>
  </w:num>
  <w:num w:numId="3" w16cid:durableId="213548492">
    <w:abstractNumId w:val="7"/>
  </w:num>
  <w:num w:numId="4" w16cid:durableId="292567089">
    <w:abstractNumId w:val="4"/>
  </w:num>
  <w:num w:numId="5" w16cid:durableId="1573158433">
    <w:abstractNumId w:val="5"/>
  </w:num>
  <w:num w:numId="6" w16cid:durableId="1821851191">
    <w:abstractNumId w:val="2"/>
  </w:num>
  <w:num w:numId="7" w16cid:durableId="593250242">
    <w:abstractNumId w:val="0"/>
  </w:num>
  <w:num w:numId="8" w16cid:durableId="19621775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 Samuli Jaakkola">
    <w15:presenceInfo w15:providerId="AD" w15:userId="S::niko.jaakkola@unibo.it::c3a0ca6e-f563-4ff4-8e8d-514028b729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72"/>
    <w:rsid w:val="00006F9C"/>
    <w:rsid w:val="0001219A"/>
    <w:rsid w:val="000204DE"/>
    <w:rsid w:val="00023037"/>
    <w:rsid w:val="00025551"/>
    <w:rsid w:val="00037129"/>
    <w:rsid w:val="00037F49"/>
    <w:rsid w:val="000625C5"/>
    <w:rsid w:val="00095E50"/>
    <w:rsid w:val="000B057F"/>
    <w:rsid w:val="000B5993"/>
    <w:rsid w:val="000C1244"/>
    <w:rsid w:val="000E48F5"/>
    <w:rsid w:val="000F7521"/>
    <w:rsid w:val="00112EF2"/>
    <w:rsid w:val="00120056"/>
    <w:rsid w:val="00124F13"/>
    <w:rsid w:val="001363B4"/>
    <w:rsid w:val="00140705"/>
    <w:rsid w:val="00146685"/>
    <w:rsid w:val="001743C0"/>
    <w:rsid w:val="00180E45"/>
    <w:rsid w:val="00181228"/>
    <w:rsid w:val="0018375B"/>
    <w:rsid w:val="00186B34"/>
    <w:rsid w:val="00193F3E"/>
    <w:rsid w:val="00193F7F"/>
    <w:rsid w:val="001A5EF4"/>
    <w:rsid w:val="001B018E"/>
    <w:rsid w:val="001C14D2"/>
    <w:rsid w:val="001E18C2"/>
    <w:rsid w:val="001F0683"/>
    <w:rsid w:val="00224BA9"/>
    <w:rsid w:val="00227C4F"/>
    <w:rsid w:val="00235C66"/>
    <w:rsid w:val="002360B5"/>
    <w:rsid w:val="002456EA"/>
    <w:rsid w:val="0025698D"/>
    <w:rsid w:val="00285486"/>
    <w:rsid w:val="00285AB2"/>
    <w:rsid w:val="002A67A9"/>
    <w:rsid w:val="002B1B6D"/>
    <w:rsid w:val="002B4EA7"/>
    <w:rsid w:val="002C0060"/>
    <w:rsid w:val="002C35EA"/>
    <w:rsid w:val="002C371B"/>
    <w:rsid w:val="002F1675"/>
    <w:rsid w:val="002F53BE"/>
    <w:rsid w:val="00303B37"/>
    <w:rsid w:val="00315F8C"/>
    <w:rsid w:val="003258E9"/>
    <w:rsid w:val="003526D5"/>
    <w:rsid w:val="00352903"/>
    <w:rsid w:val="00353AF7"/>
    <w:rsid w:val="003562A8"/>
    <w:rsid w:val="00362947"/>
    <w:rsid w:val="00364C4E"/>
    <w:rsid w:val="00367CC6"/>
    <w:rsid w:val="0037446A"/>
    <w:rsid w:val="0039182D"/>
    <w:rsid w:val="003B1A79"/>
    <w:rsid w:val="003B3D38"/>
    <w:rsid w:val="003C668F"/>
    <w:rsid w:val="003D4B27"/>
    <w:rsid w:val="003D62A0"/>
    <w:rsid w:val="003D6A2D"/>
    <w:rsid w:val="003E1E5B"/>
    <w:rsid w:val="003F4B37"/>
    <w:rsid w:val="003F525A"/>
    <w:rsid w:val="003F5A86"/>
    <w:rsid w:val="00407EA2"/>
    <w:rsid w:val="00412521"/>
    <w:rsid w:val="0041516D"/>
    <w:rsid w:val="00433743"/>
    <w:rsid w:val="0044374B"/>
    <w:rsid w:val="00453093"/>
    <w:rsid w:val="00460285"/>
    <w:rsid w:val="00465163"/>
    <w:rsid w:val="004734C3"/>
    <w:rsid w:val="00486009"/>
    <w:rsid w:val="0048653F"/>
    <w:rsid w:val="0049597A"/>
    <w:rsid w:val="004A40F9"/>
    <w:rsid w:val="004B260E"/>
    <w:rsid w:val="004C5E5D"/>
    <w:rsid w:val="004E2D58"/>
    <w:rsid w:val="004E7A9E"/>
    <w:rsid w:val="004E7F8B"/>
    <w:rsid w:val="004F35F5"/>
    <w:rsid w:val="004F3F43"/>
    <w:rsid w:val="005117DF"/>
    <w:rsid w:val="005228D6"/>
    <w:rsid w:val="005373A3"/>
    <w:rsid w:val="00537972"/>
    <w:rsid w:val="005461F3"/>
    <w:rsid w:val="00562C84"/>
    <w:rsid w:val="00564C20"/>
    <w:rsid w:val="00566F25"/>
    <w:rsid w:val="00577BB3"/>
    <w:rsid w:val="00581612"/>
    <w:rsid w:val="00585382"/>
    <w:rsid w:val="005A2E7F"/>
    <w:rsid w:val="005A6AB3"/>
    <w:rsid w:val="005B1C61"/>
    <w:rsid w:val="005C4155"/>
    <w:rsid w:val="005D3CF4"/>
    <w:rsid w:val="005D496B"/>
    <w:rsid w:val="005D7E04"/>
    <w:rsid w:val="005E1F8A"/>
    <w:rsid w:val="005E3338"/>
    <w:rsid w:val="005F316C"/>
    <w:rsid w:val="005F37B0"/>
    <w:rsid w:val="005F77CB"/>
    <w:rsid w:val="00602B6C"/>
    <w:rsid w:val="00610466"/>
    <w:rsid w:val="00616BFE"/>
    <w:rsid w:val="0061759C"/>
    <w:rsid w:val="00644774"/>
    <w:rsid w:val="0067676A"/>
    <w:rsid w:val="006830D0"/>
    <w:rsid w:val="006A4706"/>
    <w:rsid w:val="006C08CF"/>
    <w:rsid w:val="006C308A"/>
    <w:rsid w:val="006D6254"/>
    <w:rsid w:val="006E3196"/>
    <w:rsid w:val="007036E6"/>
    <w:rsid w:val="00715704"/>
    <w:rsid w:val="00715C7E"/>
    <w:rsid w:val="00716F3D"/>
    <w:rsid w:val="00742F82"/>
    <w:rsid w:val="007432AF"/>
    <w:rsid w:val="007565E1"/>
    <w:rsid w:val="00766FAE"/>
    <w:rsid w:val="00776DC9"/>
    <w:rsid w:val="00795A8A"/>
    <w:rsid w:val="007A6D4A"/>
    <w:rsid w:val="007B10B3"/>
    <w:rsid w:val="007B1A27"/>
    <w:rsid w:val="007C29AA"/>
    <w:rsid w:val="007D1B27"/>
    <w:rsid w:val="007E51D6"/>
    <w:rsid w:val="007F775B"/>
    <w:rsid w:val="0080272A"/>
    <w:rsid w:val="0080753B"/>
    <w:rsid w:val="00807FFC"/>
    <w:rsid w:val="00824D61"/>
    <w:rsid w:val="00847C27"/>
    <w:rsid w:val="0085152B"/>
    <w:rsid w:val="0086073C"/>
    <w:rsid w:val="00860961"/>
    <w:rsid w:val="00860CD3"/>
    <w:rsid w:val="00862D82"/>
    <w:rsid w:val="00874D81"/>
    <w:rsid w:val="00882201"/>
    <w:rsid w:val="0089552D"/>
    <w:rsid w:val="008B0B1A"/>
    <w:rsid w:val="008C4958"/>
    <w:rsid w:val="008E0E71"/>
    <w:rsid w:val="008E6417"/>
    <w:rsid w:val="008F138B"/>
    <w:rsid w:val="009134FD"/>
    <w:rsid w:val="009225C6"/>
    <w:rsid w:val="009247A9"/>
    <w:rsid w:val="009373AE"/>
    <w:rsid w:val="00966D1C"/>
    <w:rsid w:val="00977D01"/>
    <w:rsid w:val="009859FF"/>
    <w:rsid w:val="009A093C"/>
    <w:rsid w:val="009B0AA0"/>
    <w:rsid w:val="009B69D7"/>
    <w:rsid w:val="009C523F"/>
    <w:rsid w:val="009C5493"/>
    <w:rsid w:val="009C7397"/>
    <w:rsid w:val="009E5EDB"/>
    <w:rsid w:val="00A15A53"/>
    <w:rsid w:val="00A228D2"/>
    <w:rsid w:val="00A26294"/>
    <w:rsid w:val="00A276AA"/>
    <w:rsid w:val="00A4530C"/>
    <w:rsid w:val="00A5279D"/>
    <w:rsid w:val="00A64F24"/>
    <w:rsid w:val="00AA0ED6"/>
    <w:rsid w:val="00AA351F"/>
    <w:rsid w:val="00AA48E5"/>
    <w:rsid w:val="00AA5F77"/>
    <w:rsid w:val="00AA5FE0"/>
    <w:rsid w:val="00AB0542"/>
    <w:rsid w:val="00AC3209"/>
    <w:rsid w:val="00AC5C51"/>
    <w:rsid w:val="00AD2C5F"/>
    <w:rsid w:val="00AE1DB4"/>
    <w:rsid w:val="00AE42AA"/>
    <w:rsid w:val="00B0523D"/>
    <w:rsid w:val="00B11B2C"/>
    <w:rsid w:val="00B11CFD"/>
    <w:rsid w:val="00B36CE9"/>
    <w:rsid w:val="00B55730"/>
    <w:rsid w:val="00B579C6"/>
    <w:rsid w:val="00B66983"/>
    <w:rsid w:val="00B744BF"/>
    <w:rsid w:val="00B77AB7"/>
    <w:rsid w:val="00B82202"/>
    <w:rsid w:val="00B83F9F"/>
    <w:rsid w:val="00B875B1"/>
    <w:rsid w:val="00B91D23"/>
    <w:rsid w:val="00B974C2"/>
    <w:rsid w:val="00BA5DBE"/>
    <w:rsid w:val="00BA6229"/>
    <w:rsid w:val="00BC7AFC"/>
    <w:rsid w:val="00BD1CB3"/>
    <w:rsid w:val="00BD6675"/>
    <w:rsid w:val="00BE14CE"/>
    <w:rsid w:val="00BE1C1A"/>
    <w:rsid w:val="00C12283"/>
    <w:rsid w:val="00C31359"/>
    <w:rsid w:val="00C45A1D"/>
    <w:rsid w:val="00C5052B"/>
    <w:rsid w:val="00C57D5F"/>
    <w:rsid w:val="00C57E1F"/>
    <w:rsid w:val="00C60658"/>
    <w:rsid w:val="00C632D0"/>
    <w:rsid w:val="00C82FE8"/>
    <w:rsid w:val="00C9588A"/>
    <w:rsid w:val="00CA414E"/>
    <w:rsid w:val="00CA6644"/>
    <w:rsid w:val="00CB79A8"/>
    <w:rsid w:val="00CC3371"/>
    <w:rsid w:val="00CC64D5"/>
    <w:rsid w:val="00CC76D8"/>
    <w:rsid w:val="00CD0AAD"/>
    <w:rsid w:val="00CD32D3"/>
    <w:rsid w:val="00CD3C82"/>
    <w:rsid w:val="00CE0480"/>
    <w:rsid w:val="00CE3052"/>
    <w:rsid w:val="00CE4172"/>
    <w:rsid w:val="00CE63A8"/>
    <w:rsid w:val="00D00D70"/>
    <w:rsid w:val="00D10B00"/>
    <w:rsid w:val="00D14AEE"/>
    <w:rsid w:val="00D370C6"/>
    <w:rsid w:val="00D573B9"/>
    <w:rsid w:val="00D60AB8"/>
    <w:rsid w:val="00D745C3"/>
    <w:rsid w:val="00D912B0"/>
    <w:rsid w:val="00D957BD"/>
    <w:rsid w:val="00D97F77"/>
    <w:rsid w:val="00DA6AB1"/>
    <w:rsid w:val="00DB2D88"/>
    <w:rsid w:val="00DB5B8B"/>
    <w:rsid w:val="00DC322C"/>
    <w:rsid w:val="00DC433F"/>
    <w:rsid w:val="00DE431F"/>
    <w:rsid w:val="00DE5CB9"/>
    <w:rsid w:val="00DF70AF"/>
    <w:rsid w:val="00E03FC2"/>
    <w:rsid w:val="00E12FB2"/>
    <w:rsid w:val="00E13309"/>
    <w:rsid w:val="00E2287E"/>
    <w:rsid w:val="00E367A4"/>
    <w:rsid w:val="00E42234"/>
    <w:rsid w:val="00E43C01"/>
    <w:rsid w:val="00E45DC3"/>
    <w:rsid w:val="00E56EFC"/>
    <w:rsid w:val="00E626B9"/>
    <w:rsid w:val="00E66CF1"/>
    <w:rsid w:val="00E72244"/>
    <w:rsid w:val="00E807C8"/>
    <w:rsid w:val="00E9129B"/>
    <w:rsid w:val="00E97578"/>
    <w:rsid w:val="00EA1EE4"/>
    <w:rsid w:val="00EA3CE9"/>
    <w:rsid w:val="00EB4D2D"/>
    <w:rsid w:val="00EB5C88"/>
    <w:rsid w:val="00ED0A1E"/>
    <w:rsid w:val="00ED1E08"/>
    <w:rsid w:val="00EF686B"/>
    <w:rsid w:val="00F04C8C"/>
    <w:rsid w:val="00F069F8"/>
    <w:rsid w:val="00F06EF3"/>
    <w:rsid w:val="00F149E2"/>
    <w:rsid w:val="00F23C03"/>
    <w:rsid w:val="00F25A23"/>
    <w:rsid w:val="00F4266A"/>
    <w:rsid w:val="00F43C92"/>
    <w:rsid w:val="00F44546"/>
    <w:rsid w:val="00F45071"/>
    <w:rsid w:val="00F520A9"/>
    <w:rsid w:val="00F7305C"/>
    <w:rsid w:val="00F76D1C"/>
    <w:rsid w:val="00F91F5C"/>
    <w:rsid w:val="00F924CD"/>
    <w:rsid w:val="00FA0EF1"/>
    <w:rsid w:val="00FA1ACF"/>
    <w:rsid w:val="00FA7E5E"/>
    <w:rsid w:val="00FB2FB0"/>
    <w:rsid w:val="00FC40B2"/>
    <w:rsid w:val="00FD71CB"/>
    <w:rsid w:val="00FF0CAE"/>
    <w:rsid w:val="00FF12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DF5F"/>
  <w15:chartTrackingRefBased/>
  <w15:docId w15:val="{8F609F3C-950B-4C5D-A09F-6A67ECF7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202"/>
    <w:rPr>
      <w:lang w:val="it-IT"/>
    </w:rPr>
  </w:style>
  <w:style w:type="paragraph" w:styleId="Heading1">
    <w:name w:val="heading 1"/>
    <w:basedOn w:val="Normal"/>
    <w:next w:val="Normal"/>
    <w:link w:val="Heading1Char"/>
    <w:uiPriority w:val="9"/>
    <w:qFormat/>
    <w:rsid w:val="00537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72"/>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rsid w:val="00537972"/>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rsid w:val="00537972"/>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537972"/>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537972"/>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537972"/>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537972"/>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537972"/>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537972"/>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537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972"/>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537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972"/>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537972"/>
    <w:pPr>
      <w:spacing w:before="160"/>
      <w:jc w:val="center"/>
    </w:pPr>
    <w:rPr>
      <w:i/>
      <w:iCs/>
      <w:color w:val="404040" w:themeColor="text1" w:themeTint="BF"/>
    </w:rPr>
  </w:style>
  <w:style w:type="character" w:customStyle="1" w:styleId="QuoteChar">
    <w:name w:val="Quote Char"/>
    <w:basedOn w:val="DefaultParagraphFont"/>
    <w:link w:val="Quote"/>
    <w:uiPriority w:val="29"/>
    <w:rsid w:val="00537972"/>
    <w:rPr>
      <w:i/>
      <w:iCs/>
      <w:color w:val="404040" w:themeColor="text1" w:themeTint="BF"/>
      <w:lang w:val="it-IT"/>
    </w:rPr>
  </w:style>
  <w:style w:type="paragraph" w:styleId="ListParagraph">
    <w:name w:val="List Paragraph"/>
    <w:basedOn w:val="Normal"/>
    <w:uiPriority w:val="34"/>
    <w:qFormat/>
    <w:rsid w:val="00537972"/>
    <w:pPr>
      <w:ind w:left="720"/>
      <w:contextualSpacing/>
    </w:pPr>
  </w:style>
  <w:style w:type="character" w:styleId="IntenseEmphasis">
    <w:name w:val="Intense Emphasis"/>
    <w:basedOn w:val="DefaultParagraphFont"/>
    <w:uiPriority w:val="21"/>
    <w:qFormat/>
    <w:rsid w:val="00537972"/>
    <w:rPr>
      <w:i/>
      <w:iCs/>
      <w:color w:val="0F4761" w:themeColor="accent1" w:themeShade="BF"/>
    </w:rPr>
  </w:style>
  <w:style w:type="paragraph" w:styleId="IntenseQuote">
    <w:name w:val="Intense Quote"/>
    <w:basedOn w:val="Normal"/>
    <w:next w:val="Normal"/>
    <w:link w:val="IntenseQuoteChar"/>
    <w:uiPriority w:val="30"/>
    <w:qFormat/>
    <w:rsid w:val="00537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972"/>
    <w:rPr>
      <w:i/>
      <w:iCs/>
      <w:color w:val="0F4761" w:themeColor="accent1" w:themeShade="BF"/>
      <w:lang w:val="it-IT"/>
    </w:rPr>
  </w:style>
  <w:style w:type="character" w:styleId="IntenseReference">
    <w:name w:val="Intense Reference"/>
    <w:basedOn w:val="DefaultParagraphFont"/>
    <w:uiPriority w:val="32"/>
    <w:qFormat/>
    <w:rsid w:val="00537972"/>
    <w:rPr>
      <w:b/>
      <w:bCs/>
      <w:smallCaps/>
      <w:color w:val="0F4761" w:themeColor="accent1" w:themeShade="BF"/>
      <w:spacing w:val="5"/>
    </w:rPr>
  </w:style>
  <w:style w:type="paragraph" w:styleId="NormalWeb">
    <w:name w:val="Normal (Web)"/>
    <w:basedOn w:val="Normal"/>
    <w:uiPriority w:val="99"/>
    <w:semiHidden/>
    <w:unhideWhenUsed/>
    <w:rsid w:val="008C4958"/>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FootnoteText">
    <w:name w:val="footnote text"/>
    <w:basedOn w:val="Normal"/>
    <w:link w:val="FootnoteTextChar"/>
    <w:uiPriority w:val="99"/>
    <w:semiHidden/>
    <w:unhideWhenUsed/>
    <w:rsid w:val="00CC64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64D5"/>
    <w:rPr>
      <w:sz w:val="20"/>
      <w:szCs w:val="20"/>
      <w:lang w:val="it-IT"/>
    </w:rPr>
  </w:style>
  <w:style w:type="character" w:styleId="FootnoteReference">
    <w:name w:val="footnote reference"/>
    <w:basedOn w:val="DefaultParagraphFont"/>
    <w:uiPriority w:val="99"/>
    <w:semiHidden/>
    <w:unhideWhenUsed/>
    <w:rsid w:val="00CC64D5"/>
    <w:rPr>
      <w:vertAlign w:val="superscript"/>
    </w:rPr>
  </w:style>
  <w:style w:type="paragraph" w:styleId="NoSpacing">
    <w:name w:val="No Spacing"/>
    <w:uiPriority w:val="1"/>
    <w:qFormat/>
    <w:rsid w:val="00CD3C82"/>
    <w:pPr>
      <w:spacing w:after="0" w:line="240" w:lineRule="auto"/>
    </w:pPr>
    <w:rPr>
      <w:lang w:val="it-IT"/>
    </w:rPr>
  </w:style>
  <w:style w:type="character" w:styleId="CommentReference">
    <w:name w:val="annotation reference"/>
    <w:basedOn w:val="DefaultParagraphFont"/>
    <w:uiPriority w:val="99"/>
    <w:semiHidden/>
    <w:unhideWhenUsed/>
    <w:rsid w:val="00CD3C82"/>
    <w:rPr>
      <w:sz w:val="16"/>
      <w:szCs w:val="16"/>
    </w:rPr>
  </w:style>
  <w:style w:type="paragraph" w:styleId="CommentText">
    <w:name w:val="annotation text"/>
    <w:basedOn w:val="Normal"/>
    <w:link w:val="CommentTextChar"/>
    <w:uiPriority w:val="99"/>
    <w:unhideWhenUsed/>
    <w:rsid w:val="00CD3C82"/>
    <w:pPr>
      <w:spacing w:line="240" w:lineRule="auto"/>
    </w:pPr>
    <w:rPr>
      <w:sz w:val="20"/>
      <w:szCs w:val="20"/>
    </w:rPr>
  </w:style>
  <w:style w:type="character" w:customStyle="1" w:styleId="CommentTextChar">
    <w:name w:val="Comment Text Char"/>
    <w:basedOn w:val="DefaultParagraphFont"/>
    <w:link w:val="CommentText"/>
    <w:uiPriority w:val="99"/>
    <w:rsid w:val="00CD3C82"/>
    <w:rPr>
      <w:sz w:val="20"/>
      <w:szCs w:val="20"/>
      <w:lang w:val="it-IT"/>
    </w:rPr>
  </w:style>
  <w:style w:type="paragraph" w:styleId="CommentSubject">
    <w:name w:val="annotation subject"/>
    <w:basedOn w:val="CommentText"/>
    <w:next w:val="CommentText"/>
    <w:link w:val="CommentSubjectChar"/>
    <w:uiPriority w:val="99"/>
    <w:semiHidden/>
    <w:unhideWhenUsed/>
    <w:rsid w:val="00CD3C82"/>
    <w:rPr>
      <w:b/>
      <w:bCs/>
    </w:rPr>
  </w:style>
  <w:style w:type="character" w:customStyle="1" w:styleId="CommentSubjectChar">
    <w:name w:val="Comment Subject Char"/>
    <w:basedOn w:val="CommentTextChar"/>
    <w:link w:val="CommentSubject"/>
    <w:uiPriority w:val="99"/>
    <w:semiHidden/>
    <w:rsid w:val="00CD3C82"/>
    <w:rPr>
      <w:b/>
      <w:bCs/>
      <w:sz w:val="20"/>
      <w:szCs w:val="20"/>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1421">
      <w:bodyDiv w:val="1"/>
      <w:marLeft w:val="0"/>
      <w:marRight w:val="0"/>
      <w:marTop w:val="0"/>
      <w:marBottom w:val="0"/>
      <w:divBdr>
        <w:top w:val="none" w:sz="0" w:space="0" w:color="auto"/>
        <w:left w:val="none" w:sz="0" w:space="0" w:color="auto"/>
        <w:bottom w:val="none" w:sz="0" w:space="0" w:color="auto"/>
        <w:right w:val="none" w:sz="0" w:space="0" w:color="auto"/>
      </w:divBdr>
    </w:div>
    <w:div w:id="245237774">
      <w:bodyDiv w:val="1"/>
      <w:marLeft w:val="0"/>
      <w:marRight w:val="0"/>
      <w:marTop w:val="0"/>
      <w:marBottom w:val="0"/>
      <w:divBdr>
        <w:top w:val="none" w:sz="0" w:space="0" w:color="auto"/>
        <w:left w:val="none" w:sz="0" w:space="0" w:color="auto"/>
        <w:bottom w:val="none" w:sz="0" w:space="0" w:color="auto"/>
        <w:right w:val="none" w:sz="0" w:space="0" w:color="auto"/>
      </w:divBdr>
    </w:div>
    <w:div w:id="274676922">
      <w:bodyDiv w:val="1"/>
      <w:marLeft w:val="0"/>
      <w:marRight w:val="0"/>
      <w:marTop w:val="0"/>
      <w:marBottom w:val="0"/>
      <w:divBdr>
        <w:top w:val="none" w:sz="0" w:space="0" w:color="auto"/>
        <w:left w:val="none" w:sz="0" w:space="0" w:color="auto"/>
        <w:bottom w:val="none" w:sz="0" w:space="0" w:color="auto"/>
        <w:right w:val="none" w:sz="0" w:space="0" w:color="auto"/>
      </w:divBdr>
    </w:div>
    <w:div w:id="354382659">
      <w:bodyDiv w:val="1"/>
      <w:marLeft w:val="0"/>
      <w:marRight w:val="0"/>
      <w:marTop w:val="0"/>
      <w:marBottom w:val="0"/>
      <w:divBdr>
        <w:top w:val="none" w:sz="0" w:space="0" w:color="auto"/>
        <w:left w:val="none" w:sz="0" w:space="0" w:color="auto"/>
        <w:bottom w:val="none" w:sz="0" w:space="0" w:color="auto"/>
        <w:right w:val="none" w:sz="0" w:space="0" w:color="auto"/>
      </w:divBdr>
    </w:div>
    <w:div w:id="395713552">
      <w:bodyDiv w:val="1"/>
      <w:marLeft w:val="0"/>
      <w:marRight w:val="0"/>
      <w:marTop w:val="0"/>
      <w:marBottom w:val="0"/>
      <w:divBdr>
        <w:top w:val="none" w:sz="0" w:space="0" w:color="auto"/>
        <w:left w:val="none" w:sz="0" w:space="0" w:color="auto"/>
        <w:bottom w:val="none" w:sz="0" w:space="0" w:color="auto"/>
        <w:right w:val="none" w:sz="0" w:space="0" w:color="auto"/>
      </w:divBdr>
    </w:div>
    <w:div w:id="452745536">
      <w:bodyDiv w:val="1"/>
      <w:marLeft w:val="0"/>
      <w:marRight w:val="0"/>
      <w:marTop w:val="0"/>
      <w:marBottom w:val="0"/>
      <w:divBdr>
        <w:top w:val="none" w:sz="0" w:space="0" w:color="auto"/>
        <w:left w:val="none" w:sz="0" w:space="0" w:color="auto"/>
        <w:bottom w:val="none" w:sz="0" w:space="0" w:color="auto"/>
        <w:right w:val="none" w:sz="0" w:space="0" w:color="auto"/>
      </w:divBdr>
    </w:div>
    <w:div w:id="504907850">
      <w:bodyDiv w:val="1"/>
      <w:marLeft w:val="0"/>
      <w:marRight w:val="0"/>
      <w:marTop w:val="0"/>
      <w:marBottom w:val="0"/>
      <w:divBdr>
        <w:top w:val="none" w:sz="0" w:space="0" w:color="auto"/>
        <w:left w:val="none" w:sz="0" w:space="0" w:color="auto"/>
        <w:bottom w:val="none" w:sz="0" w:space="0" w:color="auto"/>
        <w:right w:val="none" w:sz="0" w:space="0" w:color="auto"/>
      </w:divBdr>
    </w:div>
    <w:div w:id="533231307">
      <w:bodyDiv w:val="1"/>
      <w:marLeft w:val="0"/>
      <w:marRight w:val="0"/>
      <w:marTop w:val="0"/>
      <w:marBottom w:val="0"/>
      <w:divBdr>
        <w:top w:val="none" w:sz="0" w:space="0" w:color="auto"/>
        <w:left w:val="none" w:sz="0" w:space="0" w:color="auto"/>
        <w:bottom w:val="none" w:sz="0" w:space="0" w:color="auto"/>
        <w:right w:val="none" w:sz="0" w:space="0" w:color="auto"/>
      </w:divBdr>
    </w:div>
    <w:div w:id="585268552">
      <w:bodyDiv w:val="1"/>
      <w:marLeft w:val="0"/>
      <w:marRight w:val="0"/>
      <w:marTop w:val="0"/>
      <w:marBottom w:val="0"/>
      <w:divBdr>
        <w:top w:val="none" w:sz="0" w:space="0" w:color="auto"/>
        <w:left w:val="none" w:sz="0" w:space="0" w:color="auto"/>
        <w:bottom w:val="none" w:sz="0" w:space="0" w:color="auto"/>
        <w:right w:val="none" w:sz="0" w:space="0" w:color="auto"/>
      </w:divBdr>
    </w:div>
    <w:div w:id="631638236">
      <w:bodyDiv w:val="1"/>
      <w:marLeft w:val="0"/>
      <w:marRight w:val="0"/>
      <w:marTop w:val="0"/>
      <w:marBottom w:val="0"/>
      <w:divBdr>
        <w:top w:val="none" w:sz="0" w:space="0" w:color="auto"/>
        <w:left w:val="none" w:sz="0" w:space="0" w:color="auto"/>
        <w:bottom w:val="none" w:sz="0" w:space="0" w:color="auto"/>
        <w:right w:val="none" w:sz="0" w:space="0" w:color="auto"/>
      </w:divBdr>
    </w:div>
    <w:div w:id="826097404">
      <w:bodyDiv w:val="1"/>
      <w:marLeft w:val="0"/>
      <w:marRight w:val="0"/>
      <w:marTop w:val="0"/>
      <w:marBottom w:val="0"/>
      <w:divBdr>
        <w:top w:val="none" w:sz="0" w:space="0" w:color="auto"/>
        <w:left w:val="none" w:sz="0" w:space="0" w:color="auto"/>
        <w:bottom w:val="none" w:sz="0" w:space="0" w:color="auto"/>
        <w:right w:val="none" w:sz="0" w:space="0" w:color="auto"/>
      </w:divBdr>
    </w:div>
    <w:div w:id="865561310">
      <w:bodyDiv w:val="1"/>
      <w:marLeft w:val="0"/>
      <w:marRight w:val="0"/>
      <w:marTop w:val="0"/>
      <w:marBottom w:val="0"/>
      <w:divBdr>
        <w:top w:val="none" w:sz="0" w:space="0" w:color="auto"/>
        <w:left w:val="none" w:sz="0" w:space="0" w:color="auto"/>
        <w:bottom w:val="none" w:sz="0" w:space="0" w:color="auto"/>
        <w:right w:val="none" w:sz="0" w:space="0" w:color="auto"/>
      </w:divBdr>
    </w:div>
    <w:div w:id="897545790">
      <w:bodyDiv w:val="1"/>
      <w:marLeft w:val="0"/>
      <w:marRight w:val="0"/>
      <w:marTop w:val="0"/>
      <w:marBottom w:val="0"/>
      <w:divBdr>
        <w:top w:val="none" w:sz="0" w:space="0" w:color="auto"/>
        <w:left w:val="none" w:sz="0" w:space="0" w:color="auto"/>
        <w:bottom w:val="none" w:sz="0" w:space="0" w:color="auto"/>
        <w:right w:val="none" w:sz="0" w:space="0" w:color="auto"/>
      </w:divBdr>
    </w:div>
    <w:div w:id="904413847">
      <w:bodyDiv w:val="1"/>
      <w:marLeft w:val="0"/>
      <w:marRight w:val="0"/>
      <w:marTop w:val="0"/>
      <w:marBottom w:val="0"/>
      <w:divBdr>
        <w:top w:val="none" w:sz="0" w:space="0" w:color="auto"/>
        <w:left w:val="none" w:sz="0" w:space="0" w:color="auto"/>
        <w:bottom w:val="none" w:sz="0" w:space="0" w:color="auto"/>
        <w:right w:val="none" w:sz="0" w:space="0" w:color="auto"/>
      </w:divBdr>
    </w:div>
    <w:div w:id="948587611">
      <w:bodyDiv w:val="1"/>
      <w:marLeft w:val="0"/>
      <w:marRight w:val="0"/>
      <w:marTop w:val="0"/>
      <w:marBottom w:val="0"/>
      <w:divBdr>
        <w:top w:val="none" w:sz="0" w:space="0" w:color="auto"/>
        <w:left w:val="none" w:sz="0" w:space="0" w:color="auto"/>
        <w:bottom w:val="none" w:sz="0" w:space="0" w:color="auto"/>
        <w:right w:val="none" w:sz="0" w:space="0" w:color="auto"/>
      </w:divBdr>
    </w:div>
    <w:div w:id="1136265043">
      <w:bodyDiv w:val="1"/>
      <w:marLeft w:val="0"/>
      <w:marRight w:val="0"/>
      <w:marTop w:val="0"/>
      <w:marBottom w:val="0"/>
      <w:divBdr>
        <w:top w:val="none" w:sz="0" w:space="0" w:color="auto"/>
        <w:left w:val="none" w:sz="0" w:space="0" w:color="auto"/>
        <w:bottom w:val="none" w:sz="0" w:space="0" w:color="auto"/>
        <w:right w:val="none" w:sz="0" w:space="0" w:color="auto"/>
      </w:divBdr>
    </w:div>
    <w:div w:id="1165046689">
      <w:bodyDiv w:val="1"/>
      <w:marLeft w:val="0"/>
      <w:marRight w:val="0"/>
      <w:marTop w:val="0"/>
      <w:marBottom w:val="0"/>
      <w:divBdr>
        <w:top w:val="none" w:sz="0" w:space="0" w:color="auto"/>
        <w:left w:val="none" w:sz="0" w:space="0" w:color="auto"/>
        <w:bottom w:val="none" w:sz="0" w:space="0" w:color="auto"/>
        <w:right w:val="none" w:sz="0" w:space="0" w:color="auto"/>
      </w:divBdr>
    </w:div>
    <w:div w:id="1186410340">
      <w:bodyDiv w:val="1"/>
      <w:marLeft w:val="0"/>
      <w:marRight w:val="0"/>
      <w:marTop w:val="0"/>
      <w:marBottom w:val="0"/>
      <w:divBdr>
        <w:top w:val="none" w:sz="0" w:space="0" w:color="auto"/>
        <w:left w:val="none" w:sz="0" w:space="0" w:color="auto"/>
        <w:bottom w:val="none" w:sz="0" w:space="0" w:color="auto"/>
        <w:right w:val="none" w:sz="0" w:space="0" w:color="auto"/>
      </w:divBdr>
    </w:div>
    <w:div w:id="1229266963">
      <w:bodyDiv w:val="1"/>
      <w:marLeft w:val="0"/>
      <w:marRight w:val="0"/>
      <w:marTop w:val="0"/>
      <w:marBottom w:val="0"/>
      <w:divBdr>
        <w:top w:val="none" w:sz="0" w:space="0" w:color="auto"/>
        <w:left w:val="none" w:sz="0" w:space="0" w:color="auto"/>
        <w:bottom w:val="none" w:sz="0" w:space="0" w:color="auto"/>
        <w:right w:val="none" w:sz="0" w:space="0" w:color="auto"/>
      </w:divBdr>
      <w:divsChild>
        <w:div w:id="1487546860">
          <w:marLeft w:val="-720"/>
          <w:marRight w:val="0"/>
          <w:marTop w:val="0"/>
          <w:marBottom w:val="0"/>
          <w:divBdr>
            <w:top w:val="none" w:sz="0" w:space="0" w:color="auto"/>
            <w:left w:val="none" w:sz="0" w:space="0" w:color="auto"/>
            <w:bottom w:val="none" w:sz="0" w:space="0" w:color="auto"/>
            <w:right w:val="none" w:sz="0" w:space="0" w:color="auto"/>
          </w:divBdr>
        </w:div>
      </w:divsChild>
    </w:div>
    <w:div w:id="1236205575">
      <w:bodyDiv w:val="1"/>
      <w:marLeft w:val="0"/>
      <w:marRight w:val="0"/>
      <w:marTop w:val="0"/>
      <w:marBottom w:val="0"/>
      <w:divBdr>
        <w:top w:val="none" w:sz="0" w:space="0" w:color="auto"/>
        <w:left w:val="none" w:sz="0" w:space="0" w:color="auto"/>
        <w:bottom w:val="none" w:sz="0" w:space="0" w:color="auto"/>
        <w:right w:val="none" w:sz="0" w:space="0" w:color="auto"/>
      </w:divBdr>
    </w:div>
    <w:div w:id="1318219748">
      <w:bodyDiv w:val="1"/>
      <w:marLeft w:val="0"/>
      <w:marRight w:val="0"/>
      <w:marTop w:val="0"/>
      <w:marBottom w:val="0"/>
      <w:divBdr>
        <w:top w:val="none" w:sz="0" w:space="0" w:color="auto"/>
        <w:left w:val="none" w:sz="0" w:space="0" w:color="auto"/>
        <w:bottom w:val="none" w:sz="0" w:space="0" w:color="auto"/>
        <w:right w:val="none" w:sz="0" w:space="0" w:color="auto"/>
      </w:divBdr>
    </w:div>
    <w:div w:id="1350987863">
      <w:bodyDiv w:val="1"/>
      <w:marLeft w:val="0"/>
      <w:marRight w:val="0"/>
      <w:marTop w:val="0"/>
      <w:marBottom w:val="0"/>
      <w:divBdr>
        <w:top w:val="none" w:sz="0" w:space="0" w:color="auto"/>
        <w:left w:val="none" w:sz="0" w:space="0" w:color="auto"/>
        <w:bottom w:val="none" w:sz="0" w:space="0" w:color="auto"/>
        <w:right w:val="none" w:sz="0" w:space="0" w:color="auto"/>
      </w:divBdr>
    </w:div>
    <w:div w:id="1527404116">
      <w:bodyDiv w:val="1"/>
      <w:marLeft w:val="0"/>
      <w:marRight w:val="0"/>
      <w:marTop w:val="0"/>
      <w:marBottom w:val="0"/>
      <w:divBdr>
        <w:top w:val="none" w:sz="0" w:space="0" w:color="auto"/>
        <w:left w:val="none" w:sz="0" w:space="0" w:color="auto"/>
        <w:bottom w:val="none" w:sz="0" w:space="0" w:color="auto"/>
        <w:right w:val="none" w:sz="0" w:space="0" w:color="auto"/>
      </w:divBdr>
    </w:div>
    <w:div w:id="1618945908">
      <w:bodyDiv w:val="1"/>
      <w:marLeft w:val="0"/>
      <w:marRight w:val="0"/>
      <w:marTop w:val="0"/>
      <w:marBottom w:val="0"/>
      <w:divBdr>
        <w:top w:val="none" w:sz="0" w:space="0" w:color="auto"/>
        <w:left w:val="none" w:sz="0" w:space="0" w:color="auto"/>
        <w:bottom w:val="none" w:sz="0" w:space="0" w:color="auto"/>
        <w:right w:val="none" w:sz="0" w:space="0" w:color="auto"/>
      </w:divBdr>
    </w:div>
    <w:div w:id="1648510422">
      <w:bodyDiv w:val="1"/>
      <w:marLeft w:val="0"/>
      <w:marRight w:val="0"/>
      <w:marTop w:val="0"/>
      <w:marBottom w:val="0"/>
      <w:divBdr>
        <w:top w:val="none" w:sz="0" w:space="0" w:color="auto"/>
        <w:left w:val="none" w:sz="0" w:space="0" w:color="auto"/>
        <w:bottom w:val="none" w:sz="0" w:space="0" w:color="auto"/>
        <w:right w:val="none" w:sz="0" w:space="0" w:color="auto"/>
      </w:divBdr>
    </w:div>
    <w:div w:id="1699045115">
      <w:bodyDiv w:val="1"/>
      <w:marLeft w:val="0"/>
      <w:marRight w:val="0"/>
      <w:marTop w:val="0"/>
      <w:marBottom w:val="0"/>
      <w:divBdr>
        <w:top w:val="none" w:sz="0" w:space="0" w:color="auto"/>
        <w:left w:val="none" w:sz="0" w:space="0" w:color="auto"/>
        <w:bottom w:val="none" w:sz="0" w:space="0" w:color="auto"/>
        <w:right w:val="none" w:sz="0" w:space="0" w:color="auto"/>
      </w:divBdr>
      <w:divsChild>
        <w:div w:id="1682976740">
          <w:marLeft w:val="0"/>
          <w:marRight w:val="0"/>
          <w:marTop w:val="0"/>
          <w:marBottom w:val="0"/>
          <w:divBdr>
            <w:top w:val="none" w:sz="0" w:space="0" w:color="auto"/>
            <w:left w:val="none" w:sz="0" w:space="0" w:color="auto"/>
            <w:bottom w:val="none" w:sz="0" w:space="0" w:color="auto"/>
            <w:right w:val="none" w:sz="0" w:space="0" w:color="auto"/>
          </w:divBdr>
          <w:divsChild>
            <w:div w:id="303318240">
              <w:marLeft w:val="0"/>
              <w:marRight w:val="0"/>
              <w:marTop w:val="0"/>
              <w:marBottom w:val="0"/>
              <w:divBdr>
                <w:top w:val="none" w:sz="0" w:space="0" w:color="auto"/>
                <w:left w:val="none" w:sz="0" w:space="0" w:color="auto"/>
                <w:bottom w:val="none" w:sz="0" w:space="0" w:color="auto"/>
                <w:right w:val="none" w:sz="0" w:space="0" w:color="auto"/>
              </w:divBdr>
              <w:divsChild>
                <w:div w:id="566918727">
                  <w:marLeft w:val="0"/>
                  <w:marRight w:val="0"/>
                  <w:marTop w:val="0"/>
                  <w:marBottom w:val="0"/>
                  <w:divBdr>
                    <w:top w:val="none" w:sz="0" w:space="0" w:color="auto"/>
                    <w:left w:val="none" w:sz="0" w:space="0" w:color="auto"/>
                    <w:bottom w:val="none" w:sz="0" w:space="0" w:color="auto"/>
                    <w:right w:val="none" w:sz="0" w:space="0" w:color="auto"/>
                  </w:divBdr>
                  <w:divsChild>
                    <w:div w:id="164437482">
                      <w:marLeft w:val="0"/>
                      <w:marRight w:val="0"/>
                      <w:marTop w:val="0"/>
                      <w:marBottom w:val="0"/>
                      <w:divBdr>
                        <w:top w:val="none" w:sz="0" w:space="0" w:color="auto"/>
                        <w:left w:val="none" w:sz="0" w:space="0" w:color="auto"/>
                        <w:bottom w:val="none" w:sz="0" w:space="0" w:color="auto"/>
                        <w:right w:val="none" w:sz="0" w:space="0" w:color="auto"/>
                      </w:divBdr>
                      <w:divsChild>
                        <w:div w:id="1538932941">
                          <w:marLeft w:val="0"/>
                          <w:marRight w:val="0"/>
                          <w:marTop w:val="0"/>
                          <w:marBottom w:val="0"/>
                          <w:divBdr>
                            <w:top w:val="none" w:sz="0" w:space="0" w:color="auto"/>
                            <w:left w:val="none" w:sz="0" w:space="0" w:color="auto"/>
                            <w:bottom w:val="none" w:sz="0" w:space="0" w:color="auto"/>
                            <w:right w:val="none" w:sz="0" w:space="0" w:color="auto"/>
                          </w:divBdr>
                          <w:divsChild>
                            <w:div w:id="3139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164770">
      <w:bodyDiv w:val="1"/>
      <w:marLeft w:val="0"/>
      <w:marRight w:val="0"/>
      <w:marTop w:val="0"/>
      <w:marBottom w:val="0"/>
      <w:divBdr>
        <w:top w:val="none" w:sz="0" w:space="0" w:color="auto"/>
        <w:left w:val="none" w:sz="0" w:space="0" w:color="auto"/>
        <w:bottom w:val="none" w:sz="0" w:space="0" w:color="auto"/>
        <w:right w:val="none" w:sz="0" w:space="0" w:color="auto"/>
      </w:divBdr>
      <w:divsChild>
        <w:div w:id="1866169399">
          <w:marLeft w:val="-720"/>
          <w:marRight w:val="0"/>
          <w:marTop w:val="0"/>
          <w:marBottom w:val="0"/>
          <w:divBdr>
            <w:top w:val="none" w:sz="0" w:space="0" w:color="auto"/>
            <w:left w:val="none" w:sz="0" w:space="0" w:color="auto"/>
            <w:bottom w:val="none" w:sz="0" w:space="0" w:color="auto"/>
            <w:right w:val="none" w:sz="0" w:space="0" w:color="auto"/>
          </w:divBdr>
        </w:div>
      </w:divsChild>
    </w:div>
    <w:div w:id="1781027213">
      <w:bodyDiv w:val="1"/>
      <w:marLeft w:val="0"/>
      <w:marRight w:val="0"/>
      <w:marTop w:val="0"/>
      <w:marBottom w:val="0"/>
      <w:divBdr>
        <w:top w:val="none" w:sz="0" w:space="0" w:color="auto"/>
        <w:left w:val="none" w:sz="0" w:space="0" w:color="auto"/>
        <w:bottom w:val="none" w:sz="0" w:space="0" w:color="auto"/>
        <w:right w:val="none" w:sz="0" w:space="0" w:color="auto"/>
      </w:divBdr>
    </w:div>
    <w:div w:id="1791819882">
      <w:bodyDiv w:val="1"/>
      <w:marLeft w:val="0"/>
      <w:marRight w:val="0"/>
      <w:marTop w:val="0"/>
      <w:marBottom w:val="0"/>
      <w:divBdr>
        <w:top w:val="none" w:sz="0" w:space="0" w:color="auto"/>
        <w:left w:val="none" w:sz="0" w:space="0" w:color="auto"/>
        <w:bottom w:val="none" w:sz="0" w:space="0" w:color="auto"/>
        <w:right w:val="none" w:sz="0" w:space="0" w:color="auto"/>
      </w:divBdr>
      <w:divsChild>
        <w:div w:id="931426174">
          <w:marLeft w:val="0"/>
          <w:marRight w:val="0"/>
          <w:marTop w:val="0"/>
          <w:marBottom w:val="0"/>
          <w:divBdr>
            <w:top w:val="none" w:sz="0" w:space="0" w:color="auto"/>
            <w:left w:val="none" w:sz="0" w:space="0" w:color="auto"/>
            <w:bottom w:val="none" w:sz="0" w:space="0" w:color="auto"/>
            <w:right w:val="none" w:sz="0" w:space="0" w:color="auto"/>
          </w:divBdr>
          <w:divsChild>
            <w:div w:id="94593052">
              <w:marLeft w:val="0"/>
              <w:marRight w:val="0"/>
              <w:marTop w:val="0"/>
              <w:marBottom w:val="0"/>
              <w:divBdr>
                <w:top w:val="none" w:sz="0" w:space="0" w:color="auto"/>
                <w:left w:val="none" w:sz="0" w:space="0" w:color="auto"/>
                <w:bottom w:val="none" w:sz="0" w:space="0" w:color="auto"/>
                <w:right w:val="none" w:sz="0" w:space="0" w:color="auto"/>
              </w:divBdr>
              <w:divsChild>
                <w:div w:id="421145887">
                  <w:marLeft w:val="0"/>
                  <w:marRight w:val="0"/>
                  <w:marTop w:val="0"/>
                  <w:marBottom w:val="0"/>
                  <w:divBdr>
                    <w:top w:val="none" w:sz="0" w:space="0" w:color="auto"/>
                    <w:left w:val="none" w:sz="0" w:space="0" w:color="auto"/>
                    <w:bottom w:val="none" w:sz="0" w:space="0" w:color="auto"/>
                    <w:right w:val="none" w:sz="0" w:space="0" w:color="auto"/>
                  </w:divBdr>
                  <w:divsChild>
                    <w:div w:id="537359062">
                      <w:marLeft w:val="0"/>
                      <w:marRight w:val="0"/>
                      <w:marTop w:val="0"/>
                      <w:marBottom w:val="0"/>
                      <w:divBdr>
                        <w:top w:val="none" w:sz="0" w:space="0" w:color="auto"/>
                        <w:left w:val="none" w:sz="0" w:space="0" w:color="auto"/>
                        <w:bottom w:val="none" w:sz="0" w:space="0" w:color="auto"/>
                        <w:right w:val="none" w:sz="0" w:space="0" w:color="auto"/>
                      </w:divBdr>
                      <w:divsChild>
                        <w:div w:id="1363747526">
                          <w:marLeft w:val="0"/>
                          <w:marRight w:val="0"/>
                          <w:marTop w:val="0"/>
                          <w:marBottom w:val="0"/>
                          <w:divBdr>
                            <w:top w:val="none" w:sz="0" w:space="0" w:color="auto"/>
                            <w:left w:val="none" w:sz="0" w:space="0" w:color="auto"/>
                            <w:bottom w:val="none" w:sz="0" w:space="0" w:color="auto"/>
                            <w:right w:val="none" w:sz="0" w:space="0" w:color="auto"/>
                          </w:divBdr>
                          <w:divsChild>
                            <w:div w:id="118791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495573">
      <w:bodyDiv w:val="1"/>
      <w:marLeft w:val="0"/>
      <w:marRight w:val="0"/>
      <w:marTop w:val="0"/>
      <w:marBottom w:val="0"/>
      <w:divBdr>
        <w:top w:val="none" w:sz="0" w:space="0" w:color="auto"/>
        <w:left w:val="none" w:sz="0" w:space="0" w:color="auto"/>
        <w:bottom w:val="none" w:sz="0" w:space="0" w:color="auto"/>
        <w:right w:val="none" w:sz="0" w:space="0" w:color="auto"/>
      </w:divBdr>
    </w:div>
    <w:div w:id="1883781919">
      <w:bodyDiv w:val="1"/>
      <w:marLeft w:val="0"/>
      <w:marRight w:val="0"/>
      <w:marTop w:val="0"/>
      <w:marBottom w:val="0"/>
      <w:divBdr>
        <w:top w:val="none" w:sz="0" w:space="0" w:color="auto"/>
        <w:left w:val="none" w:sz="0" w:space="0" w:color="auto"/>
        <w:bottom w:val="none" w:sz="0" w:space="0" w:color="auto"/>
        <w:right w:val="none" w:sz="0" w:space="0" w:color="auto"/>
      </w:divBdr>
    </w:div>
    <w:div w:id="1902862296">
      <w:bodyDiv w:val="1"/>
      <w:marLeft w:val="0"/>
      <w:marRight w:val="0"/>
      <w:marTop w:val="0"/>
      <w:marBottom w:val="0"/>
      <w:divBdr>
        <w:top w:val="none" w:sz="0" w:space="0" w:color="auto"/>
        <w:left w:val="none" w:sz="0" w:space="0" w:color="auto"/>
        <w:bottom w:val="none" w:sz="0" w:space="0" w:color="auto"/>
        <w:right w:val="none" w:sz="0" w:space="0" w:color="auto"/>
      </w:divBdr>
    </w:div>
    <w:div w:id="2021152521">
      <w:bodyDiv w:val="1"/>
      <w:marLeft w:val="0"/>
      <w:marRight w:val="0"/>
      <w:marTop w:val="0"/>
      <w:marBottom w:val="0"/>
      <w:divBdr>
        <w:top w:val="none" w:sz="0" w:space="0" w:color="auto"/>
        <w:left w:val="none" w:sz="0" w:space="0" w:color="auto"/>
        <w:bottom w:val="none" w:sz="0" w:space="0" w:color="auto"/>
        <w:right w:val="none" w:sz="0" w:space="0" w:color="auto"/>
      </w:divBdr>
    </w:div>
    <w:div w:id="211446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19DDC-4B71-4085-AFC3-B07B42DC2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Slanzi - marco.slanzi@studio.unibo.it</dc:creator>
  <cp:keywords/>
  <dc:description/>
  <cp:lastModifiedBy>Niko Samuli Jaakkola</cp:lastModifiedBy>
  <cp:revision>236</cp:revision>
  <dcterms:created xsi:type="dcterms:W3CDTF">2025-01-16T14:29:00Z</dcterms:created>
  <dcterms:modified xsi:type="dcterms:W3CDTF">2025-01-24T13:01:00Z</dcterms:modified>
</cp:coreProperties>
</file>