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95gnzgl92ns8"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31, 2026</w:t>
      </w:r>
      <w:r w:rsidDel="00000000" w:rsidR="00000000" w:rsidRPr="00000000">
        <w:rPr>
          <w:rtl w:val="0"/>
        </w:rPr>
      </w:r>
    </w:p>
    <w:p w:rsidR="00000000" w:rsidDel="00000000" w:rsidP="00000000" w:rsidRDefault="00000000" w:rsidRPr="00000000" w14:paraId="00000003">
      <w:pPr>
        <w:pStyle w:val="Heading2"/>
        <w:rPr/>
      </w:pPr>
      <w:bookmarkStart w:colFirst="0" w:colLast="0" w:name="_b71pu0neovp3" w:id="1"/>
      <w:bookmarkEnd w:id="1"/>
      <w:r w:rsidDel="00000000" w:rsidR="00000000" w:rsidRPr="00000000">
        <w:rPr>
          <w:rtl w:val="0"/>
        </w:rPr>
        <w:t xml:space="preserve">WOR</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Bruno Rodrigues Gonçalves</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9">
        <w:r w:rsidDel="00000000" w:rsidR="00000000" w:rsidRPr="00000000">
          <w:rPr>
            <w:color w:val="0000ee"/>
            <w:u w:val="single"/>
            <w:rtl w:val="0"/>
          </w:rPr>
          <w:t xml:space="preserve">WOR</w:t>
        </w:r>
      </w:hyperlink>
      <w:r w:rsidDel="00000000" w:rsidR="00000000" w:rsidRPr="00000000">
        <w:rPr>
          <w:rtl w:val="0"/>
        </w:rPr>
        <w:t xml:space="preserve"> </w:t>
      </w:r>
      <w:hyperlink r:id="rId10">
        <w:r w:rsidDel="00000000" w:rsidR="00000000" w:rsidRPr="00000000">
          <w:rPr>
            <w:color w:val="0000ee"/>
            <w:u w:val="single"/>
            <w:rtl w:val="0"/>
          </w:rPr>
          <w:t xml:space="preserve">WOR - 2026/03/31 16:57 GMT-03:00 - Recording</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11">
        <w:r w:rsidDel="00000000" w:rsidR="00000000" w:rsidRPr="00000000">
          <w:rPr>
            <w:color w:val="0000ee"/>
            <w:u w:val="single"/>
            <w:rtl w:val="0"/>
          </w:rPr>
          <w:t xml:space="preserve">Transcrição</w:t>
        </w:r>
      </w:hyperlink>
      <w:r w:rsidDel="00000000" w:rsidR="00000000" w:rsidRPr="00000000">
        <w:rPr>
          <w:rtl w:val="0"/>
        </w:rPr>
        <w:t xml:space="preserve"> </w:t>
      </w:r>
      <w:hyperlink r:id="rId12">
        <w:r w:rsidDel="00000000" w:rsidR="00000000" w:rsidRPr="00000000">
          <w:rPr>
            <w:color w:val="0000ee"/>
            <w:u w:val="single"/>
            <w:rtl w:val="0"/>
          </w:rPr>
          <w:t xml:space="preserve">Gravando 2</w:t>
        </w:r>
      </w:hyperlink>
      <w:r w:rsidDel="00000000" w:rsidR="00000000" w:rsidRPr="00000000">
        <w:rPr>
          <w:rtl w:val="0"/>
        </w:rPr>
        <w:t xml:space="preserve"> </w:t>
      </w:r>
      <w:hyperlink r:id="rId13">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tb4llojzn2eo"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A análise das métricas confirmou o sucesso do formato de vídeo, impulsionando a sugestão de testes com estilo “caseiro” para a Conserva, e direcionando a estratégia da Lover para conteúdo educativo após a baixa performance do Meta.</w:t>
        <w:br w:type="textWrapping"/>
        <w:br w:type="textWrapping"/>
      </w:r>
      <w:r w:rsidDel="00000000" w:rsidR="00000000" w:rsidRPr="00000000">
        <w:rPr>
          <w:b w:val="1"/>
          <w:bCs w:val="1"/>
          <w:sz w:val="28"/>
          <w:szCs w:val="28"/>
          <w:rtl w:val="0"/>
        </w:rPr>
        <w:t xml:space="preserve">Análise de Métricas e Padrões</w:t>
      </w:r>
      <w:r w:rsidDel="00000000" w:rsidR="00000000" w:rsidRPr="00000000">
        <w:rPr>
          <w:sz w:val="28"/>
          <w:szCs w:val="28"/>
          <w:rtl w:val="0"/>
        </w:rPr>
        <w:br w:type="textWrapping"/>
        <w:t xml:space="preserve">A revisão das métricas da G7 e Conserva confirmou a eficácia do vídeo, sendo que a Conserva obteve sucesso com vídeos educativos em estilo caseiro, um formato a ser replicado em testes internos.</w:t>
        <w:br w:type="textWrapping"/>
        <w:br w:type="textWrapping"/>
      </w:r>
      <w:r w:rsidDel="00000000" w:rsidR="00000000" w:rsidRPr="00000000">
        <w:rPr>
          <w:b w:val="1"/>
          <w:bCs w:val="1"/>
          <w:sz w:val="28"/>
          <w:szCs w:val="28"/>
          <w:rtl w:val="0"/>
        </w:rPr>
        <w:t xml:space="preserve">Mudança de Foco na Lover</w:t>
      </w:r>
      <w:r w:rsidDel="00000000" w:rsidR="00000000" w:rsidRPr="00000000">
        <w:rPr>
          <w:sz w:val="28"/>
          <w:szCs w:val="28"/>
          <w:rtl w:val="0"/>
        </w:rPr>
        <w:br w:type="textWrapping"/>
        <w:t xml:space="preserve">A Lover migrará a estratégia do Meta/Google para conteúdo educativo em vídeo, pois o SEO está gerando 80% dos leads, indicando a necessidade de priorizar o conteúdo de topo de funil.</w:t>
        <w:br w:type="textWrapping"/>
        <w:br w:type="textWrapping"/>
      </w:r>
      <w:r w:rsidDel="00000000" w:rsidR="00000000" w:rsidRPr="00000000">
        <w:rPr>
          <w:b w:val="1"/>
          <w:bCs w:val="1"/>
          <w:sz w:val="28"/>
          <w:szCs w:val="28"/>
          <w:rtl w:val="0"/>
        </w:rPr>
        <w:t xml:space="preserve">Transição Estratégica da Elite</w:t>
      </w:r>
      <w:r w:rsidDel="00000000" w:rsidR="00000000" w:rsidRPr="00000000">
        <w:rPr>
          <w:sz w:val="28"/>
          <w:szCs w:val="28"/>
          <w:rtl w:val="0"/>
        </w:rPr>
        <w:br w:type="textWrapping"/>
        <w:t xml:space="preserve">A Elite iniciará um mês de transição em abril, com foco em atributos diferenciais de produto e o objetivo de convencer o cliente a lançar uma landing page de contractors para solidificar a migração para Inside Sales em maio.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v3jc61kvxbfo"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[Marcos Luciano] Sugestões Rebates: Fornecer mais sugestões sobre rebates de clientes. Adicionar detalhes completos na descrição da tarefa (tesc).</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[Marcos Luciano] Vídeos Júlio: Solicitar a Júlio gravar mais vídeos. Mostrar problemas específicos de telhado, como o morcego no roof.</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[Marcos Luciano] Títulos Fortes: Forçar o uso de títulos fortes de catástrofe. Incluir nas próximas tarefas de criação de criativos.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[Lucas Procópio] Revisão Visual: Avaliar a estratégia visual das cópias. Destacar tipografia para títulos fortes e agressivos.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[Marcos Luciano] Enviar Parâmetros: Compartilhar parâmetros de direcionamento sobre a regra dos 3 segundos. Enviar os detalhes no chat da reunião.</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[Lucas Procópio] Revisar Replanejamento: Analisar o replanejamento da Elite na pasta compartilhada. Focar na estratégia de e-commerce para este mês de transição.</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[Marcos Luciano] Convencer Cliente LP: Convencer o cliente Elite a lançar. Criar uma landing page de contractors (B2B) ainda este mês.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[Marcos Luciano] Criar Tesca LP: Criar e enviar a tesca. Abrir a tarefa para o desenvolvimento da landing page.</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[Lucas Procópio] Construir LP WordPress: Tentar construir a landing page da Elite. Utilizar o ambiente WordPress/Elementor do cliente.</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[Marcos Luciano] Solicitar Fotos: Entrar em contato com o cliente Clear Choice. Solicitar fotos de serviços que não sejam box de banheiro.</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[Marcos Luciano] Avaliação Design: Orientar a cliente Media (Joana) nas próximas pesquisas. Informar que o design não deve mais ser avaliado.</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[Marcos Luciano] Instalar Plugin SEO: Instalar um plugin SEO básico na Elite. Aplicar após a conclusão da landing page por Lucas.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[Marcos Luciano] Compartilhar Documento: Compartilhar a conversa de análise (AI/Geminar) com Lucas. Conceder acesso de editor ao documento.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gn9ruecu0tqr" w:id="4"/>
      <w:bookmarkEnd w:id="4"/>
      <w:r w:rsidDel="00000000" w:rsidR="00000000" w:rsidRPr="00000000">
        <w:rPr>
          <w:rtl w:val="0"/>
        </w:rPr>
        <w:t xml:space="preserve">Detalhes</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Análise Inicial de Métricas e Padrões de Conteúdo (G7 e Conserva)</w:t>
      </w:r>
      <w:r w:rsidDel="00000000" w:rsidR="00000000" w:rsidRPr="00000000">
        <w:rPr>
          <w:rtl w:val="0"/>
        </w:rPr>
        <w:t xml:space="preserve">: Marcos Luciano iniciou a discussão revisando as métricas de três meses, incluindo interação total da publicação, cliques e *true view*, e engajamento em mídia de vídeo separadamente. Na análise da G7, confirmou-se que o vídeo funciona, mas nenhum outro padrão foi identificado. Para a Conserva, o padrão de maior sucesso são vídeos mais educativos e aqueles que abordam a política de descontos municipais que incentivam os clientes. Lucas Procópio acrescentou que o vídeo caseiro gravado para a Conserva também teve bom desempenho.</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Estratégia de Vídeo Caseiro e Testes de Formato</w:t>
      </w:r>
      <w:r w:rsidDel="00000000" w:rsidR="00000000" w:rsidRPr="00000000">
        <w:rPr>
          <w:rtl w:val="0"/>
        </w:rPr>
        <w:t xml:space="preserve">: A discussão sobre a Conserva identificou que o sucesso dos vídeos educativos se deve ao seu estilo "caseiro" e de edição mais simples, como *Capcut*. Lucas Procópio sugeriu que esse estilo de edição, que simula uma gravação caseira ou de celular, pode ser replicado em vídeos editados internamente para fins de teste. Marcos Luciano concordou com a sugestão e considerou ser uma excelente ideia para ser registrada e implementada na linha de trabalho com a Conserva.</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Análise da Estratégia de Anúncios da Lover e Mudança de Foco</w:t>
      </w:r>
      <w:r w:rsidDel="00000000" w:rsidR="00000000" w:rsidRPr="00000000">
        <w:rPr>
          <w:rtl w:val="0"/>
        </w:rPr>
        <w:t xml:space="preserve">: Os anúncios da Lover estão convertendo principalmente devido à urgência, resultando em taxas de engajamento mais baixas, mas capturando um público com necessidade imediata. Marcos Luciano informou que o Meta não está performando, com o SEO trazendo 80% dos *leads*, o que levará a uma mudança de estratégia, saindo do foco em vendas no Meta e Google para um conteúdo mais educativo, semelhante à Conserva. A ideia é que a Lover utilize vídeos mostrando problemas menos óbvios, como morcegos no telhado, para educar o cliente sobre a necessidade de troca do telhado antes que haja um vazamento.</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Potencial de Uso do YouTube e Estratégia de Retargeting</w:t>
      </w:r>
      <w:r w:rsidDel="00000000" w:rsidR="00000000" w:rsidRPr="00000000">
        <w:rPr>
          <w:rtl w:val="0"/>
        </w:rPr>
        <w:t xml:space="preserve">: Lucas Procópio perguntou sobre o uso do YouTube, e Marcos Luciano confirmou que essa é uma intenção, mas o lançamento está previsto para maio, após o arranjo de algumas pendências em abril. O YouTube será utilizado para fortalecer a marca, permitindo tanto a otimização de SEO quanto a realização de *retargeting* em pessoas que visitaram o site via SEO, mas não converteram, buscando-as com mídia paga.</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Identificação de Padrões de Sucesso em Criativos e Adoção de Títulos Impactantes</w:t>
      </w:r>
      <w:r w:rsidDel="00000000" w:rsidR="00000000" w:rsidRPr="00000000">
        <w:rPr>
          <w:rtl w:val="0"/>
        </w:rPr>
        <w:t xml:space="preserve">: A análise geral de padrões de criativos identificou que vídeos funcionam para reter atenção e explicar metodologias complexas. Um padrão recorrente é o uso de títulos com apelo de catástrofe ou impacto, referidos como "feio vende", que assustam o público, como *Stranger Things* ou *Storm Session*. Lucas Procópio confirmou que textos mais curtos e chamadas mais agressivas, como "Seu *Roof* preparado pro Texas" com letras grandes e pontos de exclamação, funcionam melhor ao captar a atenção e o desespero do público.</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Padrões de Consumo Vertical e Dicas de Engajamento em 3 Segundos</w:t>
      </w:r>
      <w:r w:rsidDel="00000000" w:rsidR="00000000" w:rsidRPr="00000000">
        <w:rPr>
          <w:rtl w:val="0"/>
        </w:rPr>
        <w:t xml:space="preserve">: Os dados confirmam que títulos impactantes levam a taxas de conversão rápida e CPLs menores. O padrão de consumo vertical (mobile) no Meta é considerado óbvio e não requer foco especial. Marcos Luciano mencionou que o sistema gerou parâmetros e orientações, incluindo a "regra dos 3 segundos", que serão compartilhados com Lucas Procópio via chat para uso na criação de peças.</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Discussão sobre a Elite: Transição de E-commerce para Inside Sales e Foco em Atributos de Produto</w:t>
      </w:r>
      <w:r w:rsidDel="00000000" w:rsidR="00000000" w:rsidRPr="00000000">
        <w:rPr>
          <w:rtl w:val="0"/>
        </w:rPr>
        <w:t xml:space="preserve">: A Elite apresenta um cenário em que o e-commerce é utilizado como catálogo, com as conversões ocorrendo via Inside Sales (ligações rastreadas no Go High Level). O projeto tem bom desempenho, mas os OKRs precisam ser mensurados. Marcos Luciano informou que fará uma tentativa focada em e-commerce neste mês de transição (abril) devido a problemas de inventário e falta de dados de entrega. A estratégia será focar em atributos diferenciais de produto e, possivelmente, conveniência, como parcerias de instalação, já que dados de prazo de entrega não foram fornecidos.</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Plano de Transição da Elite e Criação de Landing Page de Contractors</w:t>
      </w:r>
      <w:r w:rsidDel="00000000" w:rsidR="00000000" w:rsidRPr="00000000">
        <w:rPr>
          <w:rtl w:val="0"/>
        </w:rPr>
        <w:t xml:space="preserve">: O mês de abril será de transição, com o foco em peças de e-commerce, mantendo a existência da plataforma, mas alinhando os KPIs para *Inside Sales*. Marcos Luciano planeja convencer o cliente a lançar uma *landing page* para contratados (*contractors*) ainda em abril, o que solidificaria a migração para *Inside Sales* em maio. Lucas Procópio poderá construir essa *landing page* no WordPress da Elite, sendo que a criação de uma *landing page* no WordPress também poderia ajudar a gerar resultados de SEO e servir como um *over delivery* para o cliente.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Estratégia para Clean Choice: Foco em Engajamento Inicial e Novos Serviços</w:t>
      </w:r>
      <w:r w:rsidDel="00000000" w:rsidR="00000000" w:rsidRPr="00000000">
        <w:rPr>
          <w:rtl w:val="0"/>
        </w:rPr>
        <w:t xml:space="preserve">: Na Clean Choice, os criativos estão funcionando e o desempenho geral da campanha melhorou após a subida de criativos de Orlando. O ponto de melhoria é o gancho inicial dos vídeos (os primeiros segundos) para aumentar o engajamento, embora a alta conversão direta já indique que a oferta está bem posicionada. Marcos Luciano se comprometeu a solicitar ao cliente fotos de novos serviços, como espelhos e adegas, para que o material visual utilizado não seja apenas de banco de imagens.</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Mídia: Remoção de Criativos do Escopo e Novo Foco em Impulsionamento de Conteúdo Próprio</w:t>
      </w:r>
      <w:r w:rsidDel="00000000" w:rsidR="00000000" w:rsidRPr="00000000">
        <w:rPr>
          <w:rtl w:val="0"/>
        </w:rPr>
        <w:t xml:space="preserve">: Na conta da Mídia, a produção de criativos foi removida do escopo para focar em SEO, mas a cliente solicitou mais. Marcos Luciano reorientou a cliente a não avaliar o design na próxima pesquisa de satisfação, pois não está mais no escopo. A cliente, Joana, fará seus próprios vídeos (um quadro no Instagram) e o papel da equipe será apenas impulsionar o conteúdo (patrocinado) para ganhar seguidores.</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Conclusão e Próximos Passos</w:t>
      </w:r>
      <w:r w:rsidDel="00000000" w:rsidR="00000000" w:rsidRPr="00000000">
        <w:rPr>
          <w:rtl w:val="0"/>
        </w:rPr>
        <w:t xml:space="preserve">: Como resumo, a Elite focará em tributos de produto e a Clear Choice deve focar na urgência do *hook* inicial. A mídia não terá mais foco em criativos. Marcos Luciano planeja compartilhar a conversa de análise de padrões, que inclui um documento de *storytelling*, diretamente com Lucas Procópio via Geminar, para que ele tenha o contexto completo. A periodicidade da próxima reunião será ajustada para quinzenalmente para alinhamento contínuo.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color w:val="747775"/>
        </w:rPr>
      </w:pPr>
      <w:r w:rsidDel="00000000" w:rsidR="00000000" w:rsidRPr="00000000">
        <w:rPr>
          <w:i w:val="1"/>
          <w:iCs w:val="1"/>
          <w:color w:val="747775"/>
          <w:rtl w:val="0"/>
        </w:rPr>
        <w:t xml:space="preserve">Revise as anotações do Gemini para checar se estão corretas. </w:t>
      </w:r>
      <w:hyperlink r:id="rId14">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C">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15">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b5roeo5yu9i8"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E">
      <w:pPr>
        <w:rPr>
          <w:color w:val="062e6f"/>
          <w:shd w:fill="d6eaff" w:val="clear"/>
        </w:rPr>
      </w:pPr>
      <w:r w:rsidDel="00000000" w:rsidR="00000000" w:rsidRPr="00000000">
        <w:rPr>
          <w:color w:val="062e6f"/>
          <w:shd w:fill="d6eaff" w:val="clear"/>
          <w:rtl w:val="0"/>
        </w:rPr>
        <w:t xml:space="preserve">31 de mar. de 2026</w:t>
      </w:r>
      <w:r w:rsidDel="00000000" w:rsidR="00000000" w:rsidRPr="00000000">
        <w:rPr>
          <w:rtl w:val="0"/>
        </w:rPr>
      </w:r>
    </w:p>
    <w:p w:rsidR="00000000" w:rsidDel="00000000" w:rsidP="00000000" w:rsidRDefault="00000000" w:rsidRPr="00000000" w14:paraId="0000002F">
      <w:pPr>
        <w:pStyle w:val="Heading2"/>
        <w:rPr>
          <w:sz w:val="56"/>
          <w:szCs w:val="56"/>
        </w:rPr>
      </w:pPr>
      <w:bookmarkStart w:colFirst="0" w:colLast="0" w:name="_t8ov7zrqtl6q" w:id="6"/>
      <w:bookmarkEnd w:id="6"/>
      <w:r w:rsidDel="00000000" w:rsidR="00000000" w:rsidRPr="00000000">
        <w:rPr>
          <w:sz w:val="56"/>
          <w:szCs w:val="56"/>
          <w:rtl w:val="0"/>
        </w:rPr>
        <w:t xml:space="preserve">WOR - Transcrição</w:t>
      </w:r>
    </w:p>
    <w:p w:rsidR="00000000" w:rsidDel="00000000" w:rsidP="00000000" w:rsidRDefault="00000000" w:rsidRPr="00000000" w14:paraId="00000030">
      <w:pPr>
        <w:pStyle w:val="Heading3"/>
        <w:spacing w:after="40" w:line="276" w:lineRule="auto"/>
        <w:rPr>
          <w:sz w:val="32"/>
          <w:szCs w:val="32"/>
        </w:rPr>
      </w:pPr>
      <w:bookmarkStart w:colFirst="0" w:colLast="0" w:name="_e437fhbuj6n" w:id="7"/>
      <w:bookmarkEnd w:id="7"/>
      <w:r w:rsidDel="00000000" w:rsidR="00000000" w:rsidRPr="00000000">
        <w:rPr>
          <w:sz w:val="32"/>
          <w:szCs w:val="32"/>
          <w:rtl w:val="0"/>
        </w:rPr>
        <w:t xml:space="preserve">A transcrição foi encerrada após 00:00:04</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RUsYT17dwmj5ZANAKMKu5glSy4UMdPGMhkKUAgRKEQ4/edit?usp=drive_web&amp;tab=t.nj1s1hteuctw" TargetMode="External"/><Relationship Id="rId10" Type="http://schemas.openxmlformats.org/officeDocument/2006/relationships/hyperlink" Target="https://drive.google.com/file/d/1Jh5Ipa2yhjgSxDJjVHP3M3bVAhOqaxyh/view?usp=drive_web" TargetMode="External"/><Relationship Id="rId13" Type="http://schemas.openxmlformats.org/officeDocument/2006/relationships/hyperlink" Target="https://drive.google.com/file/d/1Jh5Ipa2yhjgSxDJjVHP3M3bVAhOqaxyh/view?usp=drive_web" TargetMode="External"/><Relationship Id="rId12" Type="http://schemas.openxmlformats.org/officeDocument/2006/relationships/hyperlink" Target="https://drive.google.com/file/d/1aa2Rc1X-TmF1poutBHaT2o5HxXCBg7ck/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endar.google.com/calendar/event?eid=NjU0OGFhbnNpcXFvMmhnMDFvN3RnaTR0N3ZfMjAyNjAzMzFUMjAwMDAwWiBtYXJjb3NsdWNpYW5vLnJvZHJpZ3Vlc0B2NGNvbXBhbnkuY29t" TargetMode="External"/><Relationship Id="rId15" Type="http://schemas.openxmlformats.org/officeDocument/2006/relationships/hyperlink" Target="https://google.qualtrics.com/jfe/form/SV_9vK3UZEaIQKKE7A?confid=5NAlFidgzinHaOYPHspIDxIWOAIIigIgABgFCA&amp;detailid=standard&amp;screenshot=false" TargetMode="External"/><Relationship Id="rId14"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bruno.rod@v4company.com"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lucas.procopi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