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Arquitetura Serverless para Processamento Assincrono (event-driven)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p>
      <w:r>
        <w:t>A FV roda alguns jobs de processamento em servidores dedicados 24/7, mesmo quando não há nada a fazer. Paga máquina ociosa à noite, fim de semana e feriado. Para picos, ou sobre-dimensiona (caro) ou fica sem capacidade (lento). O modelo serverless inverte isso: você paga só pela execução.</w:t>
      </w:r>
    </w:p>
    <w:p>
      <w:r>
        <w:t>Analogia da lancha por horaUm servidor dedicado é como alugar uma lancha o mês todo: paga mesmo parada no cais. Serverless é pagar só pelos minutos em que a lancha está efetivamente navegando. Se ninguém usa, custo zero. Se 100 pessoas usam ao mesmo tempo, o serviço cria 100 lanchas pequenas sozinho — e some com elas quando o mar esvazia.</w:t>
      </w:r>
    </w:p>
    <w:p>
      <w:pPr>
        <w:pStyle w:val="Heading1"/>
      </w:pPr>
      <w:r>
        <w:t>2. Diagnóstico</w:t>
      </w:r>
    </w:p>
    <w:p>
      <w:r>
        <w:t>Servidores ociosos consomem orçamento sem entregar valor. Picos não previstos geram timeouts. O provisionamento manual é lento e errante: ou sobra recurso (dinheiro jogado fora) ou falta (SLA estourado).</w:t>
      </w:r>
    </w:p>
    <w:p>
      <w:r>
        <w:t>Custo de infra mensal (R$)JanFevMarAbrMaiJunJulAgoSetOutNovDezAntesDepoisTempo de resposta em pico (s)JanFevMarAbrMaiJunJulAgoSetOutNovDezAntesDepois</w:t>
      </w:r>
    </w:p>
    <w:p>
      <w:r>
        <w:t>Raiz do problema: capacidade é fixa (provisionada por adivinhação), então o custo é pago mesmo sem uso e o pico quebra o teto. Serverless troca capacidade fixa por capacidade elástica e cobrança por execução.</w:t>
      </w:r>
    </w:p>
    <w:p>
      <w:pPr>
        <w:pStyle w:val="Heading1"/>
      </w:pPr>
      <w:r>
        <w:t>3. Solução</w:t>
      </w:r>
    </w:p>
    <w:p>
      <w:r>
        <w:t>Migrar jobs esporádicos e APIs de baixo/médio tráfego para functions serverless com auto-scale a partir de zero. Cobrança pay-per-use (por ms de execução + memória). O trade-off é o cold start: a primeira chamada após ociosidade leva mais tempo, mitigável com keep-warm estratégico ou tamanho de memória adequado.</w:t>
      </w:r>
    </w:p>
    <w:p>
      <w:pPr>
        <w:pStyle w:val="Heading1"/>
      </w:pPr>
      <w:r>
        <w:t>4. Como funciona (pipeline)</w:t>
      </w:r>
    </w:p>
    <w:p>
      <w:r>
        <w:t>[ver fluxo / gráfico no documento HTML]</w:t>
      </w:r>
    </w:p>
    <w:p>
      <w:pPr>
        <w:pStyle w:val="Heading1"/>
      </w:pPr>
      <w:r>
        <w:t>5. Antes vs Depois</w:t>
      </w:r>
    </w:p>
    <w:tbl>
      <w:tblPr>
        <w:tblW w:type="auto" w:w="0"/>
        <w:tblLook w:firstColumn="1" w:firstRow="1" w:lastColumn="0" w:lastRow="0" w:noHBand="0" w:noVBand="1" w:val="04A0"/>
      </w:tblPr>
      <w:tblGrid>
  </w:tblGrid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Cenário</w:t>
            </w:r>
          </w:p>
        </w:tc>
        <w:tc>
          <w:tcPr>
            <w:tcW w:type="dxa" w:w="2880"/>
          </w:tcPr>
          <w:p>
            <w:r>
              <w:t>Antes (servidor fixo)</w:t>
            </w:r>
          </w:p>
        </w:tc>
        <w:tc>
          <w:tcPr>
            <w:tcW w:type="dxa" w:w="2880"/>
          </w:tcPr>
          <w:p>
            <w:r>
              <w:t>Depois (serverless)</w:t>
            </w:r>
          </w:p>
        </w:tc>
      </w:tr>
      <w:tr>
        <w:tc>
          <w:tcPr>
            <w:tcW w:type="dxa" w:w="2880"/>
          </w:tcPr>
          <w:p>
            <w:r>
              <w:t>Custo em dia sem uso</w:t>
            </w:r>
          </w:p>
        </w:tc>
        <w:tc>
          <w:tcPr>
            <w:tcW w:type="dxa" w:w="2880"/>
          </w:tcPr>
          <w:p>
            <w:r>
              <w:t>Pago integral</w:t>
            </w:r>
          </w:p>
        </w:tc>
        <w:tc>
          <w:tcPr>
            <w:tcW w:type="dxa" w:w="2880"/>
          </w:tcPr>
          <w:p>
            <w:r>
              <w:t>R$ 0,00</w:t>
            </w:r>
          </w:p>
        </w:tc>
      </w:tr>
      <w:tr>
        <w:tc>
          <w:tcPr>
            <w:tcW w:type="dxa" w:w="2880"/>
          </w:tcPr>
          <w:p>
            <w:r>
              <w:t>Pico não previsto</w:t>
            </w:r>
          </w:p>
        </w:tc>
        <w:tc>
          <w:tcPr>
            <w:tcW w:type="dxa" w:w="2880"/>
          </w:tcPr>
          <w:p>
            <w:r>
              <w:t>Timeout / lento</w:t>
            </w:r>
          </w:p>
        </w:tc>
        <w:tc>
          <w:tcPr>
            <w:tcW w:type="dxa" w:w="2880"/>
          </w:tcPr>
          <w:p>
            <w:r>
              <w:t>Auto-scale absorve</w:t>
            </w:r>
          </w:p>
        </w:tc>
      </w:tr>
      <w:tr>
        <w:tc>
          <w:tcPr>
            <w:tcW w:type="dxa" w:w="2880"/>
          </w:tcPr>
          <w:p>
            <w:r>
              <w:t>Provisionamento</w:t>
            </w:r>
          </w:p>
        </w:tc>
        <w:tc>
          <w:tcPr>
            <w:tcW w:type="dxa" w:w="2880"/>
          </w:tcPr>
          <w:p>
            <w:r>
              <w:t>Manual e lento</w:t>
            </w:r>
          </w:p>
        </w:tc>
        <w:tc>
          <w:tcPr>
            <w:tcW w:type="dxa" w:w="2880"/>
          </w:tcPr>
          <w:p>
            <w:r>
              <w:t>Instantâneo</w:t>
            </w:r>
          </w:p>
        </w:tc>
      </w:tr>
      <w:tr>
        <w:tc>
          <w:tcPr>
            <w:tcW w:type="dxa" w:w="2880"/>
          </w:tcPr>
          <w:p>
            <w:r>
              <w:t>Cold start</w:t>
            </w:r>
          </w:p>
        </w:tc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Existe, mitigado</w:t>
            </w:r>
          </w:p>
        </w:tc>
      </w:tr>
    </w:tbl>
    <w:p>
      <w:pPr>
        <w:pStyle w:val="Heading1"/>
      </w:pPr>
      <w:r>
        <w:t>6. Entregas</w:t>
      </w:r>
    </w:p>
    <w:p>
      <w:pPr>
        <w:pStyle w:val="ListBullet"/>
      </w:pPr>
      <w:r>
        <w:t>Function process_job.py: handler sem estado, lê/escreve em Redis e DB.</w:t>
      </w:r>
    </w:p>
    <w:p>
      <w:pPr>
        <w:pStyle w:val="ListBullet"/>
      </w:pPr>
      <w:r>
        <w:t>Config serverless.yml: memória, timeout e gatilhos (HTTP/agenda).</w:t>
      </w:r>
    </w:p>
    <w:p>
      <w:pPr>
        <w:pStyle w:val="ListBullet"/>
      </w:pPr>
      <w:r>
        <w:t>Doc custo.md: projeção pay-per-use vs servidor dedicado.</w:t>
      </w:r>
    </w:p>
    <w:p>
      <w:pPr>
        <w:pStyle w:val="ListBullet"/>
      </w:pPr>
      <w:r>
        <w:t>Monitor de cold start e taxa de auto-scale por função.</w:t>
      </w:r>
    </w:p>
    <w:p>
      <w:pPr>
        <w:pStyle w:val="Heading1"/>
      </w:pPr>
      <w:r>
        <w:t>7. Métricas</w:t>
      </w:r>
    </w:p>
    <w:p>
      <w:r>
        <w:t>Economia acumulada (R$)JanFevMarAbrMaiJunJulAgoSetOutNovDezMês 1</w:t>
      </w:r>
    </w:p>
    <w:p>
      <w:r>
        <w:t>Meta: reduzir custo de infra ociosa em 80% mantendo p95 de resposta em pico abaixo de 2,5s.</w:t>
      </w:r>
    </w:p>
    <w:p>
      <w:pPr>
        <w:pStyle w:val="Heading1"/>
      </w:pPr>
      <w:r>
        <w:t>8. Status final</w:t>
      </w:r>
    </w:p>
    <w:p>
      <w:r>
        <w:t>NÃO publicado — Desenvolvido e em homologação. Aguarda revisão antes de produção.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