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Conformidade LGPD em Eventos e Dados (anonimizacao, consentimento, esquecimento)</w:t>
      </w:r>
    </w:p>
    <w:p>
      <w:r>
        <w:t>PDI Marcos Luciano - marcosluciano.rodrigues@v4company.com</w:t>
      </w:r>
    </w:p>
    <w:p>
      <w:pPr>
        <w:pStyle w:val="Heading1"/>
      </w:pPr>
      <w:r>
        <w:t>1. Contexto</w:t>
      </w:r>
    </w:p>
    <w:p>
      <w:r>
        <w:t>A FV roda dados de clientes em vários serviços: o evento lead.criado viaja por Vendas, Marketing, Enriquecimento e Analytics. A LGPD exige que dado pessoal só circule com base legal (consentimento), seja guardado pelo tempo mínimo e possa ser anonimizado ou apagado. Num sistema distribuído, o dado pessoal se espalha — e o risco também.</w:t>
      </w:r>
    </w:p>
    <w:p>
      <w:r>
        <w:t>Analogia do bilhete com CPFVocê passa um bilhete com seu CPF para o atendente, que o repassa ao caixa, que o cola num quadro, que o manda ao RH. Se um desses lugares vazar, seu CPF está na rua e ninguém sabe de quem foi a culpa. A LGPD em dados distribuídos é: só repasse o CPF se o cliente autorizou, manche o bilhete ao sair do setor (anonimize), e destrua o original quando o prazo vencer (retenção). Cada sala precisa de regra.</w:t>
      </w:r>
    </w:p>
    <w:p>
      <w:pPr>
        <w:pStyle w:val="Heading1"/>
      </w:pPr>
      <w:r>
        <w:t>2. Diagnóstico</w:t>
      </w:r>
    </w:p>
    <w:p>
      <w:r>
        <w:t>Hoje o lead.criado carrega CPF, e-mail e telefone em texto puro por todos os tópicos. Não há flag de consentimento, nem prazo de retenção, nem criptografia em repouso. Um auditor da ANPD pede 'apague o João' e ninguém acha em qual serviço o dado parou. Multa e imagem em risco.</w:t>
      </w:r>
    </w:p>
    <w:p>
      <w:r>
        <w:t>Dados pessoais expostos em tópicos (n campos)JanFevMarAbrMaiJunJulAgoSetOutNovDezAntesDepoisTempo p/ atender pedido de apagamento (dias)JanFevMarAbrMaiJunJulAgoSetOutNovDezAntesDepois</w:t>
      </w:r>
    </w:p>
    <w:p>
      <w:r>
        <w:t>Raiz do problema: o dado pessoal é replicado sem consentimento explícito nem marcação de ciclo de vida. Não há rastro de onde o dado vive, então o direito ao esquecimento é inviável.</w:t>
      </w:r>
    </w:p>
    <w:p>
      <w:pPr>
        <w:pStyle w:val="Heading1"/>
      </w:pPr>
      <w:r>
        <w:t>3. Solução</w:t>
      </w:r>
    </w:p>
    <w:p>
      <w:r>
        <w:t>Tratar LGPD como parte do pipeline de eventos. Regras: (1) consentimento via flag consent_id no payload — só publica dado pessoal se houver base legal; (2) criptografia em repouso (campo sensível cifrado) e em trânsito (TLS); (3) anonimizar ao sair do contexto primário (hash irreversível ou tokenização); (4) retenção com TTL — job apaga após X dias. O payload leva subject_id em vez de CPF nas etapas downstream.</w:t>
      </w:r>
    </w:p>
    <w:p>
      <w:pPr>
        <w:pStyle w:val="Heading1"/>
      </w:pPr>
      <w:r>
        <w:t>4. Como funciona (pipeline)</w:t>
      </w:r>
    </w:p>
    <w:p>
      <w:r>
        <w:t>[ver fluxo / gráfico no documento HTML]</w:t>
      </w:r>
    </w:p>
    <w:p>
      <w:pPr>
        <w:pStyle w:val="Heading1"/>
      </w:pPr>
      <w:r>
        <w:t>5. Antes vs Depois</w:t>
      </w:r>
    </w:p>
    <w:tbl>
      <w:tblPr>
        <w:tblW w:type="auto" w:w="0"/>
        <w:tblLook w:firstColumn="1" w:firstRow="1" w:lastColumn="0" w:lastRow="0" w:noHBand="0" w:noVBand="1" w:val="04A0"/>
      </w:tblPr>
      <w:tblGrid>
  </w:tblGrid>
    </w:tbl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Cenário</w:t>
            </w:r>
          </w:p>
        </w:tc>
        <w:tc>
          <w:tcPr>
            <w:tcW w:type="dxa" w:w="2880"/>
          </w:tcPr>
          <w:p>
            <w:r>
              <w:t>Antes (texto puro)</w:t>
            </w:r>
          </w:p>
        </w:tc>
        <w:tc>
          <w:tcPr>
            <w:tcW w:type="dxa" w:w="2880"/>
          </w:tcPr>
          <w:p>
            <w:r>
              <w:t>Depois (conforme LGPD)</w:t>
            </w:r>
          </w:p>
        </w:tc>
      </w:tr>
      <w:tr>
        <w:tc>
          <w:tcPr>
            <w:tcW w:type="dxa" w:w="2880"/>
          </w:tcPr>
          <w:p>
            <w:r>
              <w:t>Consentimento</w:t>
            </w:r>
          </w:p>
        </w:tc>
        <w:tc>
          <w:tcPr>
            <w:tcW w:type="dxa" w:w="2880"/>
          </w:tcPr>
          <w:p>
            <w:r>
              <w:t>Ausente</w:t>
            </w:r>
          </w:p>
        </w:tc>
        <w:tc>
          <w:tcPr>
            <w:tcW w:type="dxa" w:w="2880"/>
          </w:tcPr>
          <w:p>
            <w:r>
              <w:t>Flag consent_id obrigatória</w:t>
            </w:r>
          </w:p>
        </w:tc>
      </w:tr>
      <w:tr>
        <w:tc>
          <w:tcPr>
            <w:tcW w:type="dxa" w:w="2880"/>
          </w:tcPr>
          <w:p>
            <w:r>
              <w:t>CPF em trânsito</w:t>
            </w:r>
          </w:p>
        </w:tc>
        <w:tc>
          <w:tcPr>
            <w:tcW w:type="dxa" w:w="2880"/>
          </w:tcPr>
          <w:p>
            <w:r>
              <w:t>Visível</w:t>
            </w:r>
          </w:p>
        </w:tc>
        <w:tc>
          <w:tcPr>
            <w:tcW w:type="dxa" w:w="2880"/>
          </w:tcPr>
          <w:p>
            <w:r>
              <w:t>Cifrado + tokenizado</w:t>
            </w:r>
          </w:p>
        </w:tc>
      </w:tr>
      <w:tr>
        <w:tc>
          <w:tcPr>
            <w:tcW w:type="dxa" w:w="2880"/>
          </w:tcPr>
          <w:p>
            <w:r>
              <w:t>Pedido de apagamento</w:t>
            </w:r>
          </w:p>
        </w:tc>
        <w:tc>
          <w:tcPr>
            <w:tcW w:type="dxa" w:w="2880"/>
          </w:tcPr>
          <w:p>
            <w:r>
              <w:t>90 dias</w:t>
            </w:r>
          </w:p>
        </w:tc>
        <w:tc>
          <w:tcPr>
            <w:tcW w:type="dxa" w:w="2880"/>
          </w:tcPr>
          <w:p>
            <w:r>
              <w:t>&lt; 1 dia (subject_id)</w:t>
            </w:r>
          </w:p>
        </w:tc>
      </w:tr>
      <w:tr>
        <w:tc>
          <w:tcPr>
            <w:tcW w:type="dxa" w:w="2880"/>
          </w:tcPr>
          <w:p>
            <w:r>
              <w:t>Retenção</w:t>
            </w:r>
          </w:p>
        </w:tc>
        <w:tc>
          <w:tcPr>
            <w:tcW w:type="dxa" w:w="2880"/>
          </w:tcPr>
          <w:p>
            <w:r>
              <w:t>Infinita</w:t>
            </w:r>
          </w:p>
        </w:tc>
        <w:tc>
          <w:tcPr>
            <w:tcW w:type="dxa" w:w="2880"/>
          </w:tcPr>
          <w:p>
            <w:r>
              <w:t>TTL 365d</w:t>
            </w:r>
          </w:p>
        </w:tc>
      </w:tr>
    </w:tbl>
    <w:p>
      <w:pPr>
        <w:pStyle w:val="Heading1"/>
      </w:pPr>
      <w:r>
        <w:t>6. Entregas</w:t>
      </w:r>
    </w:p>
    <w:p>
      <w:pPr>
        <w:pStyle w:val="ListBullet"/>
      </w:pPr>
      <w:r>
        <w:t>Schema lead_event.avsc: campos sensíveis marcados pii:true.</w:t>
      </w:r>
    </w:p>
    <w:p>
      <w:pPr>
        <w:pStyle w:val="ListBullet"/>
      </w:pPr>
      <w:r>
        <w:t>Lib lgpd_crypto.py: encrypt/decrypt AES + tokenize.</w:t>
      </w:r>
    </w:p>
    <w:p>
      <w:pPr>
        <w:pStyle w:val="ListBullet"/>
      </w:pPr>
      <w:r>
        <w:t>Job retention_purge.py: varre e apaga por subject_id / TTL.</w:t>
      </w:r>
    </w:p>
    <w:p>
      <w:pPr>
        <w:pStyle w:val="ListBullet"/>
      </w:pPr>
      <w:r>
        <w:t>Doc mapa-dados.md: onde cada PII vive e seu prazo.</w:t>
      </w:r>
    </w:p>
    <w:p>
      <w:pPr>
        <w:pStyle w:val="Heading1"/>
      </w:pPr>
      <w:r>
        <w:t>7. Métricas</w:t>
      </w:r>
    </w:p>
    <w:p>
      <w:r>
        <w:t>Conformidade LGPD (score 0-100)M1M2M3M4M5M6M7M8M9M10M11M12Mês 1</w:t>
      </w:r>
    </w:p>
    <w:p>
      <w:r>
        <w:t>Meta: 100% dos eventos com consentimento, zero PII em texto puro em trânsito e pedido de apagamento resolvido em</w:t>
      </w:r>
    </w:p>
    <w:p>
      <w:pPr>
        <w:pStyle w:val="Heading1"/>
      </w:pPr>
      <w:r>
        <w:t>8. Status final</w:t>
      </w:r>
    </w:p>
    <w:p>
      <w:r>
        <w:t>NÃO publicado — Desenvolvido e em homologação. Aguarda revisão antes de produção.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