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B4513"/>
          <w:sz w:val="28"/>
        </w:rPr>
        <w:t>PDI</w:t>
      </w:r>
    </w:p>
    <w:p>
      <w:pPr>
        <w:jc w:val="center"/>
      </w:pPr>
      <w:r>
        <w:rPr>
          <w:b/>
          <w:sz w:val="46"/>
        </w:rPr>
        <w:t>Fundamentos de IA Generativa (NVIDIA DLI) aplicados a RAG</w:t>
      </w:r>
    </w:p>
    <w:p>
      <w:pPr>
        <w:jc w:val="center"/>
      </w:pPr>
      <w:r>
        <w:rPr>
          <w:color w:val="6B7A8A"/>
          <w:sz w:val="24"/>
        </w:rPr>
        <w:t>Documento Técnico de PDI</w:t>
      </w:r>
    </w:p>
    <w:p>
      <w:pPr>
        <w:jc w:val="center"/>
      </w:pPr>
      <w:r>
        <w:rPr>
          <w:color w:val="495560"/>
          <w:sz w:val="22"/>
        </w:rPr>
        <w:t>Autor: PDI Marcos Luciano - marcosluciano.rodrigues@v4company.com</w:t>
        <w:br/>
      </w:r>
      <w:r>
        <w:rPr>
          <w:color w:val="495560"/>
          <w:sz w:val="22"/>
        </w:rPr>
        <w:t>Unidade: FV Marketing / V4 Company</w:t>
        <w:br/>
      </w:r>
      <w:r>
        <w:rPr>
          <w:color w:val="495560"/>
          <w:sz w:val="22"/>
        </w:rPr>
        <w:t>Data: Agosto 2026</w:t>
        <w:br/>
      </w:r>
      <w:r>
        <w:rPr>
          <w:color w:val="495560"/>
          <w:sz w:val="22"/>
        </w:rPr>
        <w:t>Área: 04 Engenharia de IA, RAG e Vetores</w:t>
        <w:br/>
      </w:r>
      <w:r>
        <w:rPr>
          <w:color w:val="495560"/>
          <w:sz w:val="22"/>
        </w:rPr>
        <w:t>Status: Entregue (desenvolvido)</w:t>
        <w:br/>
      </w:r>
    </w:p>
    <w:p>
      <w:r>
        <w:br w:type="page"/>
      </w:r>
    </w:p>
    <w:p>
      <w:pPr>
        <w:pStyle w:val="Heading2"/>
      </w:pPr>
      <w:r>
        <w:rPr>
          <w:color w:val="8B1E1E"/>
        </w:rPr>
        <w:t>1. Contexto</w:t>
      </w:r>
    </w:p>
    <w:p>
      <w:r>
        <w:t>Baseline RAG a partir do curso Building RAG Agents with LLMs (NVIDIA DLI), com chunk 512 e overlap 64, top-k 20 com rerank para top-5, e avaliação de faithfulness em 10 perguntas.</w:t>
      </w:r>
    </w:p>
    <w:p>
      <w:pPr>
        <w:pStyle w:val="Heading2"/>
      </w:pPr>
      <w:r>
        <w:rPr>
          <w:color w:val="8B1E1E"/>
        </w:rPr>
        <w:t>2. Diagnóstico</w:t>
      </w:r>
    </w:p>
    <w:p>
      <w:r>
        <w:t>Chunk grande gera ruído e chunk pequeno perde contexto. Similaridade pura devolve contexto irrelevante e não há métrica de qualidade sem normalização de embeddings.</w:t>
      </w:r>
    </w:p>
    <w:p>
      <w:pPr>
        <w:pStyle w:val="Heading2"/>
      </w:pPr>
      <w:r>
        <w:rPr>
          <w:color w:val="8B1E1E"/>
        </w:rPr>
        <w:t>3. Solução</w:t>
      </w:r>
    </w:p>
    <w:p>
      <w:r>
        <w:t>Módulo com tokenizacao, embeddings text-embedding-3-small de 1536 dim, similaridade por cosseno com threshold 0.82, guardrails de PII e golden set com 50 pares.</w:t>
      </w:r>
    </w:p>
    <w:p>
      <w:pPr>
        <w:pStyle w:val="Heading2"/>
      </w:pPr>
      <w:r>
        <w:rPr>
          <w:color w:val="8B1E1E"/>
        </w:rPr>
        <w:t>4. Entregas</w:t>
      </w:r>
    </w:p>
    <w:p>
      <w:pPr>
        <w:pStyle w:val="ListBullet"/>
      </w:pPr>
      <w:r>
        <w:t>DLI-NOTES.md</w:t>
      </w:r>
    </w:p>
    <w:p>
      <w:pPr>
        <w:pStyle w:val="ListBullet"/>
      </w:pPr>
      <w:r>
        <w:t>rag_baseline.py (embed.py, count_tokens, cosine, check_safety, eval_report)</w:t>
      </w:r>
    </w:p>
    <w:p>
      <w:pPr>
        <w:pStyle w:val="ListBullet"/>
      </w:pPr>
      <w:r>
        <w:t>CONCLUSAO.md e guardrails.md</w:t>
      </w:r>
    </w:p>
    <w:p>
      <w:pPr>
        <w:pStyle w:val="Heading2"/>
      </w:pPr>
      <w:r>
        <w:rPr>
          <w:color w:val="8B1E1E"/>
        </w:rPr>
        <w:t>5. Métricas</w:t>
      </w:r>
    </w:p>
    <w:p>
      <w:pPr>
        <w:pStyle w:val="ListBullet"/>
      </w:pPr>
      <w:r>
        <w:t>Faithfulness maior ou igual a 0.8</w:t>
      </w:r>
    </w:p>
    <w:p>
      <w:pPr>
        <w:pStyle w:val="ListBullet"/>
      </w:pPr>
      <w:r>
        <w:t>Chunk 512 com overlap 64</w:t>
      </w:r>
    </w:p>
    <w:p>
      <w:pPr>
        <w:pStyle w:val="ListBullet"/>
      </w:pPr>
      <w:r>
        <w:t>Score médio maior ou igual a 0.90 no golden set</w:t>
      </w:r>
    </w:p>
    <w:p>
      <w:pPr>
        <w:pStyle w:val="ListBullet"/>
      </w:pPr>
      <w:r>
        <w:t>100 por cento de bloqueio em guardrails</w:t>
      </w:r>
    </w:p>
    <w:p>
      <w:pPr>
        <w:pStyle w:val="Heading2"/>
      </w:pPr>
      <w:r>
        <w:rPr>
          <w:color w:val="8B1E1E"/>
        </w:rPr>
        <w:t>6. Status final</w:t>
      </w:r>
    </w:p>
    <w:p>
      <w:r>
        <w:t>Desenvolvido e em homologação. Aguarda revisão antes de produção.</w:t>
      </w:r>
    </w:p>
    <w:p>
      <w:pPr>
        <w:pStyle w:val="Heading2"/>
      </w:pPr>
      <w:r>
        <w:rPr>
          <w:color w:val="8B1E1E"/>
        </w:rPr>
        <w:t>9. Decisões e tradeoffs</w:t>
      </w:r>
    </w:p>
    <w:p>
      <w:pPr>
        <w:pStyle w:val="ListBullet"/>
      </w:pPr>
      <w:r>
        <w:t>Chunk 512 com overlap 64: escolhi coesão contra custo de tokens, porque chunk grande gera ruído e chunk pequeno perde contexto, conforme ADR-041.</w:t>
      </w:r>
    </w:p>
    <w:p>
      <w:pPr>
        <w:pStyle w:val="ListBullet"/>
      </w:pPr>
      <w:r>
        <w:t>Top-k 20 com rerank para top-5: aceitei latência extra do rerank para filtrar o ruído da similaridade pura.</w:t>
      </w:r>
    </w:p>
    <w:p>
      <w:pPr>
        <w:pStyle w:val="ListBullet"/>
      </w:pPr>
      <w:r>
        <w:t>Normalizar embeddings de 1536 dim com cosseno e threshold 0.82: padronizei a medida para o score ser comparável entre textos de tamanhos distintos.</w:t>
      </w:r>
    </w:p>
    <w:p>
      <w:pPr>
        <w:pStyle w:val="ListBullet"/>
      </w:pPr>
      <w:r>
        <w:t>Golden set com 50 pares e faithfulness maior ou igual a 0.8 em 10 perguntas: troquei avaliação no olhômetro por gate reproduzível no CI.</w:t>
      </w:r>
    </w:p>
    <w:p>
      <w:pPr>
        <w:pStyle w:val="ListBullet"/>
      </w:pPr>
      <w:r>
        <w:t>Guardrail fail-closed com 100 por cento de bloqueio antes da produção: preferi falso positivo seguro a resposta tóxica, fora de domínio ou com PII.</w:t>
      </w:r>
    </w:p>
    <w:p>
      <w:pPr>
        <w:pStyle w:val="Heading2"/>
      </w:pPr>
      <w:r>
        <w:rPr>
          <w:color w:val="8B1E1E"/>
        </w:rPr>
        <w:t>10. Impacto no negócio</w:t>
      </w:r>
    </w:p>
    <w:p>
      <w:r>
        <w:t>O baseline com faithfulness maior ou igual a 0.8 e score médio maior ou igual a 0.90 no golden set de 50 pares reduz risco de hallucination em produção e elimina a surpresa de fatura com contagem previa de tokens, o que encurta homologação e sustenta as atividades seguintes de RAG híbrido e custos.</w:t>
      </w:r>
    </w:p>
    <w:p>
      <w:pPr>
        <w:pStyle w:val="Heading2"/>
      </w:pPr>
      <w:r>
        <w:rPr>
          <w:color w:val="8B1E1E"/>
        </w:rPr>
        <w:t>11. Referências de estudo</w:t>
      </w:r>
    </w:p>
    <w:p>
      <w:pPr>
        <w:pStyle w:val="ListBullet"/>
      </w:pPr>
      <w:r>
        <w:t>Curso: Building RAG Agents with LLMs, plataforma NVIDIA Deep Learning Institute (DLI).</w:t>
      </w:r>
    </w:p>
    <w:p>
      <w:pPr>
        <w:pStyle w:val="ListBullet"/>
      </w:pPr>
      <w:r>
        <w:t>Vídeo: RAG from Scratch com chunking, embeddings e avaliação, plataforma YouTube, canal LangChain.</w:t>
      </w:r>
    </w:p>
    <w:p>
      <w:pPr>
        <w:pStyle w:val="ListBullet"/>
      </w:pPr>
      <w:r>
        <w:t>Doc oficial: Guia de embeddings text-embedding-3-small, documentação oficial OpenAI.</w:t>
      </w:r>
    </w:p>
    <w:p>
      <w:pPr>
        <w:pStyle w:val="ListBullet"/>
      </w:pPr>
      <w:r>
        <w:t>Doc oficial: Documentação do pgvector com índice HNSW, documentação oficial pgvector.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