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8B4513"/>
          <w:sz w:val="28"/>
        </w:rPr>
        <w:t>PDI</w:t>
      </w:r>
    </w:p>
    <w:p>
      <w:pPr>
        <w:jc w:val="center"/>
      </w:pPr>
      <w:r>
        <w:rPr>
          <w:b/>
          <w:sz w:val="46"/>
        </w:rPr>
        <w:t>RAG Híbrido (BM25 + Vetorial) e GraphRAG para Relações</w:t>
      </w:r>
    </w:p>
    <w:p>
      <w:pPr>
        <w:jc w:val="center"/>
      </w:pPr>
      <w:r>
        <w:rPr>
          <w:color w:val="6B7A8A"/>
          <w:sz w:val="24"/>
        </w:rPr>
        <w:t>Documento Técnico de PDI</w:t>
      </w:r>
    </w:p>
    <w:p>
      <w:pPr>
        <w:jc w:val="center"/>
      </w:pPr>
      <w:r>
        <w:rPr>
          <w:color w:val="495560"/>
          <w:sz w:val="22"/>
        </w:rPr>
        <w:t>Autor: PDI Marcos Luciano - marcosluciano.rodrigues@v4company.com</w:t>
        <w:br/>
      </w:r>
      <w:r>
        <w:rPr>
          <w:color w:val="495560"/>
          <w:sz w:val="22"/>
        </w:rPr>
        <w:t>Unidade: FV Marketing / V4 Company</w:t>
        <w:br/>
      </w:r>
      <w:r>
        <w:rPr>
          <w:color w:val="495560"/>
          <w:sz w:val="22"/>
        </w:rPr>
        <w:t>Data: Agosto 2026</w:t>
        <w:br/>
      </w:r>
      <w:r>
        <w:rPr>
          <w:color w:val="495560"/>
          <w:sz w:val="22"/>
        </w:rPr>
        <w:t>Área: 04 Engenharia de IA, RAG e Vetores</w:t>
        <w:br/>
      </w:r>
      <w:r>
        <w:rPr>
          <w:color w:val="495560"/>
          <w:sz w:val="22"/>
        </w:rPr>
        <w:t>Status: Entregue (desenvolvido)</w:t>
        <w:br/>
      </w:r>
    </w:p>
    <w:p>
      <w:r>
        <w:br w:type="page"/>
      </w:r>
    </w:p>
    <w:p>
      <w:pPr>
        <w:pStyle w:val="Heading2"/>
      </w:pPr>
      <w:r>
        <w:rPr>
          <w:color w:val="8B1E1E"/>
        </w:rPr>
        <w:t>1. Contexto</w:t>
      </w:r>
    </w:p>
    <w:p>
      <w:r>
        <w:t>Upgrade do baseline para híbrido BM25 mais vetorial com RRF e GraphRAG para relações do tipo cliente contrato fatura, onde similaridade pura falha em ID exato como CNPJ.</w:t>
      </w:r>
    </w:p>
    <w:p>
      <w:pPr>
        <w:pStyle w:val="Heading2"/>
      </w:pPr>
      <w:r>
        <w:rPr>
          <w:color w:val="8B1E1E"/>
        </w:rPr>
        <w:t>2. Diagnóstico</w:t>
      </w:r>
    </w:p>
    <w:p>
      <w:r>
        <w:t>Vetorial e ótimo em sinônimo e ruim em ID exato. BM25 e ótimo em exato e ruim em sinônimo. Relação exige grafo.</w:t>
      </w:r>
    </w:p>
    <w:p>
      <w:pPr>
        <w:pStyle w:val="Heading2"/>
      </w:pPr>
      <w:r>
        <w:rPr>
          <w:color w:val="8B1E1E"/>
        </w:rPr>
        <w:t>3. Solução</w:t>
      </w:r>
    </w:p>
    <w:p>
      <w:r>
        <w:t>Retriever híbrido com RRF mais traversal no grafo, chunking semântico com overlap 128, e job noturno de rebuild incremental.</w:t>
      </w:r>
    </w:p>
    <w:p>
      <w:pPr>
        <w:pStyle w:val="Heading2"/>
      </w:pPr>
      <w:r>
        <w:rPr>
          <w:color w:val="8B1E1E"/>
        </w:rPr>
        <w:t>4. Entregas</w:t>
      </w:r>
    </w:p>
    <w:p>
      <w:pPr>
        <w:pStyle w:val="ListBullet"/>
      </w:pPr>
      <w:r>
        <w:t>HYBRID-RAG.md</w:t>
      </w:r>
    </w:p>
    <w:p>
      <w:pPr>
        <w:pStyle w:val="ListBullet"/>
      </w:pPr>
      <w:r>
        <w:t>hybrid_rag.py e rag_hybrid.py com retrieve(q)</w:t>
      </w:r>
    </w:p>
    <w:p>
      <w:pPr>
        <w:pStyle w:val="ListBullet"/>
      </w:pPr>
      <w:r>
        <w:t>graph_schema.cypher e 001_rag_schema.sql</w:t>
      </w:r>
    </w:p>
    <w:p>
      <w:pPr>
        <w:pStyle w:val="Heading2"/>
      </w:pPr>
      <w:r>
        <w:rPr>
          <w:color w:val="8B1E1E"/>
        </w:rPr>
        <w:t>5. Métricas</w:t>
      </w:r>
    </w:p>
    <w:p>
      <w:pPr>
        <w:pStyle w:val="ListBullet"/>
      </w:pPr>
      <w:r>
        <w:t>hit@5 relação maior ou igual a 0.9</w:t>
      </w:r>
    </w:p>
    <w:p>
      <w:pPr>
        <w:pStyle w:val="ListBullet"/>
      </w:pPr>
      <w:r>
        <w:t>hit@5 exato maior ou igual a 0.95</w:t>
      </w:r>
    </w:p>
    <w:p>
      <w:pPr>
        <w:pStyle w:val="ListBullet"/>
      </w:pPr>
      <w:r>
        <w:t>Precisão@5 de cerca de 42 por cento para cerca de 98 por cento</w:t>
      </w:r>
    </w:p>
    <w:p>
      <w:pPr>
        <w:pStyle w:val="ListBullet"/>
      </w:pPr>
      <w:r>
        <w:t>Latência menor que 150 ms em 90 por cento das consultas</w:t>
      </w:r>
    </w:p>
    <w:p>
      <w:pPr>
        <w:pStyle w:val="ListBullet"/>
      </w:pPr>
      <w:r>
        <w:t>Meta precisão@5 maior ou igual a 95 por cento</w:t>
      </w:r>
    </w:p>
    <w:p>
      <w:pPr>
        <w:pStyle w:val="Heading2"/>
      </w:pPr>
      <w:r>
        <w:rPr>
          <w:color w:val="8B1E1E"/>
        </w:rPr>
        <w:t>6. Status final</w:t>
      </w:r>
    </w:p>
    <w:p>
      <w:r>
        <w:t>Desenvolvido e em homologação. Aguarda revisão antes de produção.</w:t>
      </w:r>
    </w:p>
    <w:p>
      <w:pPr>
        <w:pStyle w:val="Heading2"/>
      </w:pPr>
      <w:r>
        <w:rPr>
          <w:color w:val="8B1E1E"/>
        </w:rPr>
        <w:t>9. Decisões e tradeoffs</w:t>
      </w:r>
    </w:p>
    <w:p>
      <w:pPr>
        <w:pStyle w:val="ListBullet"/>
      </w:pPr>
      <w:r>
        <w:t>BM25 mais vetorial com fusão RRF: aceitei complexidade extra para cobrir ID exato como CNPJ e sinônimo no mesmo retriever, porque cada método sozinho falha em um dos casos.</w:t>
      </w:r>
    </w:p>
    <w:p>
      <w:pPr>
        <w:pStyle w:val="ListBullet"/>
      </w:pPr>
      <w:r>
        <w:t>GraphRAG com traversal para relações cliente contrato fatura: assumi custo de rebuild incremental para responder perguntas relacionais que o vetorial não resolve.</w:t>
      </w:r>
    </w:p>
    <w:p>
      <w:pPr>
        <w:pStyle w:val="ListBullet"/>
      </w:pPr>
      <w:r>
        <w:t>Chunking semântico com overlap 128: preservei contexto entre sentenças mesmo pagando mais tokens indexados.</w:t>
      </w:r>
    </w:p>
    <w:p>
      <w:pPr>
        <w:pStyle w:val="ListBullet"/>
      </w:pPr>
      <w:r>
        <w:t>Avaliação em 30 perguntas (10 exatas, 10 sinônimos, 10 relação) com hit@5: troquei teste informal por matriz que separa exato, sinônimo e relação.</w:t>
      </w:r>
    </w:p>
    <w:p>
      <w:pPr>
        <w:pStyle w:val="ListBullet"/>
      </w:pPr>
      <w:r>
        <w:t>Meta de precisão@5 maior ou igual a 95 por cento e latência menor que 150 ms com job noturno: equilibrei qualidade alta com atualização periódica do grafo.</w:t>
      </w:r>
    </w:p>
    <w:p>
      <w:pPr>
        <w:pStyle w:val="Heading2"/>
      </w:pPr>
      <w:r>
        <w:rPr>
          <w:color w:val="8B1E1E"/>
        </w:rPr>
        <w:t>10. Impacto no negócio</w:t>
      </w:r>
    </w:p>
    <w:p>
      <w:r>
        <w:t>O híbrido com hit@5 maior ou igual a 0.95 no exato e maior ou igual a 0.9 na relação eleva a precisão@5 de cerca de 42 por cento para cerca de 98 por cento, o que reduz retrabalho de respostas vagas e viabiliza precificação de busca relacional sem indexação manual.</w:t>
      </w:r>
    </w:p>
    <w:p>
      <w:pPr>
        <w:pStyle w:val="Heading2"/>
      </w:pPr>
      <w:r>
        <w:rPr>
          <w:color w:val="8B1E1E"/>
        </w:rPr>
        <w:t>11. Referências de estudo</w:t>
      </w:r>
    </w:p>
    <w:p>
      <w:pPr>
        <w:pStyle w:val="ListBullet"/>
      </w:pPr>
      <w:r>
        <w:t>Curso: Advanced Retrieval for AI with Chroma, plataforma DeepLearning.AI.</w:t>
      </w:r>
    </w:p>
    <w:p>
      <w:pPr>
        <w:pStyle w:val="ListBullet"/>
      </w:pPr>
      <w:r>
        <w:t>Vídeo: GraphRAG com busca vetorial mais grafo de conhecimento, plataforma YouTube, canal Microsoft Developer.</w:t>
      </w:r>
    </w:p>
    <w:p>
      <w:pPr>
        <w:pStyle w:val="ListBullet"/>
      </w:pPr>
      <w:r>
        <w:t>Doc oficial: Guia de BM25 e relevância textual, documentação oficial Elastic.</w:t>
      </w:r>
    </w:p>
    <w:p>
      <w:pPr>
        <w:pStyle w:val="ListBullet"/>
      </w:pPr>
      <w:r>
        <w:t>Doc oficial: Documentação do pgvector com HNSW, documentação oficial pgvector.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