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Conformidade LGPD em Eventos e Dados (anonimização, consentimento, esquecimento)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05 - Sistemas Distribuídos, Mensageria e Eventos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pPr>
        <w:pStyle w:val="Heading2"/>
      </w:pPr>
      <w:r>
        <w:rPr>
          <w:color w:val="8B1E1E"/>
        </w:rPr>
        <w:t>2. Diagnóstico</w:t>
      </w:r>
    </w:p>
    <w:p>
      <w:pPr>
        <w:pStyle w:val="Heading2"/>
      </w:pPr>
      <w:r>
        <w:rPr>
          <w:color w:val="8B1E1E"/>
        </w:rPr>
        <w:t>3. Solução</w:t>
      </w:r>
    </w:p>
    <w:p>
      <w:pPr>
        <w:pStyle w:val="Heading2"/>
      </w:pPr>
      <w:r>
        <w:rPr>
          <w:color w:val="8B1E1E"/>
        </w:rPr>
        <w:t>4. Como funciona (pipeline)</w:t>
      </w:r>
    </w:p>
    <w:p>
      <w:pPr>
        <w:pStyle w:val="Heading2"/>
      </w:pPr>
      <w:r>
        <w:rPr>
          <w:color w:val="8B1E1E"/>
        </w:rPr>
        <w:t>5. Antes vs Depois</w:t>
      </w:r>
    </w:p>
    <w:p>
      <w:pPr>
        <w:pStyle w:val="Heading2"/>
      </w:pPr>
      <w:r>
        <w:rPr>
          <w:color w:val="8B1E1E"/>
        </w:rPr>
        <w:t>6. Entregas</w:t>
      </w:r>
    </w:p>
    <w:p>
      <w:pPr>
        <w:pStyle w:val="Heading2"/>
      </w:pPr>
      <w:r>
        <w:rPr>
          <w:color w:val="8B1E1E"/>
        </w:rPr>
        <w:t>7. Métricas</w:t>
      </w:r>
    </w:p>
    <w:p>
      <w:pPr>
        <w:pStyle w:val="Heading2"/>
      </w:pPr>
      <w:r>
        <w:rPr>
          <w:color w:val="8B1E1E"/>
        </w:rPr>
        <w:t>11. Status final</w:t>
      </w:r>
    </w:p>
    <w:p>
      <w:pPr>
        <w:pStyle w:val="Heading2"/>
      </w:pPr>
      <w:r>
        <w:rPr>
          <w:color w:val="8B1E1E"/>
        </w:rPr>
        <w:t>Decisões e tradeoffs</w:t>
      </w:r>
    </w:p>
    <w:p>
      <w:pPr>
        <w:pStyle w:val="ListBullet"/>
      </w:pPr>
      <w:r>
        <w:t>consent_id obrigatório no payload: só publica dado pessoal com base legal ativa; sem consentimento, o evento não circula.</w:t>
      </w:r>
    </w:p>
    <w:p>
      <w:pPr>
        <w:pStyle w:val="ListBullet"/>
      </w:pPr>
      <w:r>
        <w:t>subject_id em vez de CPF bruto no downstream: Vendas e Marketing operam com token e o Analytics recebe só hash sem reversão.</w:t>
      </w:r>
    </w:p>
    <w:p>
      <w:pPr>
        <w:pStyle w:val="ListBullet"/>
      </w:pPr>
      <w:r>
        <w:t>AES em repouso mais TLS em trânsito: CPF e e-mail cifrados no broker, com campos sensíveis marcados com pii:true no schema lead_event.avsc.</w:t>
      </w:r>
    </w:p>
    <w:p>
      <w:pPr>
        <w:pStyle w:val="ListBullet"/>
      </w:pPr>
      <w:r>
        <w:t>Retenção com TTL de 365 dias e purge por subject_id: o retention_purge.py varre e apaga, e o pedido de exclusão cai de 90 dias para menos de 1 dia, dentro do patamar de até 15 dias.</w:t>
      </w:r>
    </w:p>
    <w:p>
      <w:pPr>
        <w:pStyle w:val="Heading2"/>
      </w:pPr>
      <w:r>
        <w:rPr>
          <w:color w:val="8B1E1E"/>
        </w:rPr>
        <w:t>Impacto no negócio</w:t>
      </w:r>
    </w:p>
    <w:p>
      <w:r>
        <w:t>Com zero PII em texto puro e 100% dos fluxos com consentimento, o risco de autuação pela ANPD e de dano de imagem cai porque o dado passa a ter rastro no mapa-dados.md e prazo definido. O apagamento em menos de 1 dia transforma o direito ao esquecimento em rotina operacional de uma varredura por subject_id, em vez de caçada manual por serviço.</w:t>
      </w:r>
    </w:p>
    <w:p>
      <w:pPr>
        <w:pStyle w:val="Heading2"/>
      </w:pPr>
      <w:r>
        <w:rPr>
          <w:color w:val="8B1E1E"/>
        </w:rPr>
        <w:t>Referências de estudo</w:t>
      </w:r>
    </w:p>
    <w:p>
      <w:pPr>
        <w:pStyle w:val="ListBullet"/>
      </w:pPr>
      <w:r>
        <w:t>Curso: "LGPD na Prática" (Udemy).</w:t>
      </w:r>
    </w:p>
    <w:p>
      <w:pPr>
        <w:pStyle w:val="ListBullet"/>
      </w:pPr>
      <w:r>
        <w:t>Vídeo: "O que e a LGPD?" (YouTube, SEBRAE).</w:t>
      </w:r>
    </w:p>
    <w:p>
      <w:pPr>
        <w:pStyle w:val="ListBullet"/>
      </w:pPr>
      <w:r>
        <w:t>Documento oficial: Guia Orientativo da ANPD (gov.br/anpd).</w:t>
      </w:r>
    </w:p>
    <w:p>
      <w:pPr>
        <w:pStyle w:val="ListBullet"/>
      </w:pPr>
      <w:r>
        <w:t>Documento oficial: Lei n. 13.709/2018 (planalto.gov.br).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