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LGPD em pipelines de dados: minimização, anonimização e base legal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Área: Automação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Captura de leads, enriquecimento, sync com CRM e relatórios movem CPF, e-mail, telefone e sinais de segmentação todos os dias. Sem mapa de base legal, a operação trata dado pessoal no escuro.</w:t>
      </w:r>
    </w:p>
    <w:p>
      <w:r>
        <w:t>Esta atividade transforma LGPD em rotina de pipeline: catálogo, gate de base legal, minimização, anonimização e registro com prazo.</w:t>
      </w:r>
    </w:p>
    <w:p>
      <w:pPr>
        <w:pStyle w:val="Heading2"/>
      </w:pPr>
      <w:r>
        <w:rPr>
          <w:color w:val="8B1E1E"/>
        </w:rPr>
        <w:t>2. Diagnóstico</w:t>
      </w:r>
    </w:p>
    <w:p>
      <w:r>
        <w:t>Campo sem base legal viola a necessidade (art. 6, III); sensível sem hipótese estrita viola o art. 11; sem rotina de titular (art. 18) nem registro (art. 37), fiscalização e incidente pegam a empresa sem resposta.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Falha</w:t>
            </w:r>
          </w:p>
        </w:tc>
        <w:tc>
          <w:tcPr>
            <w:tcW w:type="dxa" w:w="2946"/>
          </w:tcPr>
          <w:p>
            <w:r>
              <w:t>Artigo</w:t>
            </w:r>
          </w:p>
        </w:tc>
        <w:tc>
          <w:tcPr>
            <w:tcW w:type="dxa" w:w="2946"/>
          </w:tcPr>
          <w:p>
            <w:r>
              <w:t>Correção</w:t>
            </w:r>
          </w:p>
        </w:tc>
      </w:tr>
      <w:tr>
        <w:tc>
          <w:tcPr>
            <w:tcW w:type="dxa" w:w="2946"/>
          </w:tcPr>
          <w:p>
            <w:r>
              <w:t>Coleta por precaução</w:t>
            </w:r>
          </w:p>
        </w:tc>
        <w:tc>
          <w:tcPr>
            <w:tcW w:type="dxa" w:w="2946"/>
          </w:tcPr>
          <w:p>
            <w:r>
              <w:t>art. 6, III</w:t>
            </w:r>
          </w:p>
        </w:tc>
        <w:tc>
          <w:tcPr>
            <w:tcW w:type="dxa" w:w="2946"/>
          </w:tcPr>
          <w:p>
            <w:r>
              <w:t>Minimizar na entrada</w:t>
            </w:r>
          </w:p>
        </w:tc>
      </w:tr>
      <w:tr>
        <w:tc>
          <w:tcPr>
            <w:tcW w:type="dxa" w:w="2946"/>
          </w:tcPr>
          <w:p>
            <w:r>
              <w:t>Agregado identificável</w:t>
            </w:r>
          </w:p>
        </w:tc>
        <w:tc>
          <w:tcPr>
            <w:tcW w:type="dxa" w:w="2946"/>
          </w:tcPr>
          <w:p>
            <w:r>
              <w:t>art. 12</w:t>
            </w:r>
          </w:p>
        </w:tc>
        <w:tc>
          <w:tcPr>
            <w:tcW w:type="dxa" w:w="2946"/>
          </w:tcPr>
          <w:p>
            <w:r>
              <w:t>k-anonimato mínimo 5</w:t>
            </w:r>
          </w:p>
        </w:tc>
      </w:tr>
      <w:tr>
        <w:tc>
          <w:tcPr>
            <w:tcW w:type="dxa" w:w="2946"/>
          </w:tcPr>
          <w:p>
            <w:r>
              <w:t>DSAR sem rotina</w:t>
            </w:r>
          </w:p>
        </w:tc>
        <w:tc>
          <w:tcPr>
            <w:tcW w:type="dxa" w:w="2946"/>
          </w:tcPr>
          <w:p>
            <w:r>
              <w:t>art. 18 e 19</w:t>
            </w:r>
          </w:p>
        </w:tc>
        <w:tc>
          <w:tcPr>
            <w:tcW w:type="dxa" w:w="2946"/>
          </w:tcPr>
          <w:p>
            <w:r>
              <w:t>Prazo de 15 dias</w:t>
            </w:r>
          </w:p>
        </w:tc>
      </w:tr>
    </w:tbl>
    <w:p>
      <w:pPr>
        <w:pStyle w:val="Heading2"/>
      </w:pPr>
      <w:r>
        <w:rPr>
          <w:color w:val="8B1E1E"/>
        </w:rPr>
        <w:t>3. Solução</w:t>
      </w:r>
    </w:p>
    <w:p>
      <w:r>
        <w:t>Standard com catálogo de 6 itens, mapa do art. 7, minimização na borda e anonimização como processo baseado em risco. Código anonimizacao.py: pseudônimo com salt, faixa etária, prefixo de CEP e checagem de k.</w:t>
      </w:r>
    </w:p>
    <w:p>
      <w:pPr>
        <w:pStyle w:val="ListBullet"/>
      </w:pPr>
      <w:r>
        <w:t>Pseudônimo no operacional, anonimizado no analítico</w:t>
      </w:r>
    </w:p>
    <w:p>
      <w:pPr>
        <w:pStyle w:val="ListBullet"/>
      </w:pPr>
      <w:r>
        <w:t>Checklist de conformidade por pipeline</w:t>
      </w:r>
    </w:p>
    <w:p>
      <w:pPr>
        <w:pStyle w:val="ListBullet"/>
      </w:pPr>
      <w:r>
        <w:t>Referências: lei, ANPD, curso Enap</w:t>
      </w:r>
    </w:p>
    <w:p>
      <w:pPr>
        <w:pStyle w:val="Heading2"/>
      </w:pPr>
      <w:r>
        <w:rPr>
          <w:color w:val="8B1E1E"/>
        </w:rPr>
        <w:t>4. Como funciona</w:t>
      </w:r>
    </w:p>
    <w:p>
      <w:r>
        <w:t>1. Catálogo de campos. 2. Gate de base legal por campo. 3. Minimização antes de persistir. 4. anonimizacao.py antes de agregar. 5. Registro das operações, prazo de retenção e DSAR em 15 dias.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Conteúdo</w:t>
            </w:r>
          </w:p>
        </w:tc>
      </w:tr>
      <w:tr>
        <w:tc>
          <w:tcPr>
            <w:tcW w:type="dxa" w:w="4419"/>
          </w:tcPr>
          <w:p>
            <w:r>
              <w:t>STANDARD-LGPD-PIPELINE.md</w:t>
            </w:r>
          </w:p>
        </w:tc>
        <w:tc>
          <w:tcPr>
            <w:tcW w:type="dxa" w:w="4419"/>
          </w:tcPr>
          <w:p>
            <w:r>
              <w:t>Catálogo, art. 7, risco, DSAR</w:t>
            </w:r>
          </w:p>
        </w:tc>
      </w:tr>
      <w:tr>
        <w:tc>
          <w:tcPr>
            <w:tcW w:type="dxa" w:w="4419"/>
          </w:tcPr>
          <w:p>
            <w:r>
              <w:t>anonimizacao.py</w:t>
            </w:r>
          </w:p>
        </w:tc>
        <w:tc>
          <w:tcPr>
            <w:tcW w:type="dxa" w:w="4419"/>
          </w:tcPr>
          <w:p>
            <w:r>
              <w:t>Pipeline executável, k=6</w:t>
            </w:r>
          </w:p>
        </w:tc>
      </w:tr>
      <w:tr>
        <w:tc>
          <w:tcPr>
            <w:tcW w:type="dxa" w:w="4419"/>
          </w:tcPr>
          <w:p>
            <w:r>
              <w:t>CHECKLIST-LGPD-PIPELINE.md</w:t>
            </w:r>
          </w:p>
        </w:tc>
        <w:tc>
          <w:tcPr>
            <w:tcW w:type="dxa" w:w="4419"/>
          </w:tcPr>
          <w:p>
            <w:r>
              <w:t>Conformidade por pipeline</w:t>
            </w:r>
          </w:p>
        </w:tc>
      </w:tr>
      <w:tr>
        <w:tc>
          <w:tcPr>
            <w:tcW w:type="dxa" w:w="4419"/>
          </w:tcPr>
          <w:p>
            <w:r>
              <w:t>7-apresentacao/</w:t>
            </w:r>
          </w:p>
        </w:tc>
        <w:tc>
          <w:tcPr>
            <w:tcW w:type="dxa" w:w="4419"/>
          </w:tcPr>
          <w:p>
            <w:r>
              <w:t>Deck, demo, roteiro, HTML, DOCX, PDF</w:t>
            </w:r>
          </w:p>
        </w:tc>
      </w:tr>
    </w:tbl>
    <w:p>
      <w:pPr>
        <w:pStyle w:val="Heading2"/>
      </w:pPr>
      <w:r>
        <w:rPr>
          <w:color w:val="8B1E1E"/>
        </w:rPr>
        <w:t>6.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Campos com base legal</w:t>
            </w:r>
          </w:p>
        </w:tc>
        <w:tc>
          <w:tcPr>
            <w:tcW w:type="dxa" w:w="2946"/>
          </w:tcPr>
          <w:p>
            <w:r>
              <w:t>0% (levantamento iniciado)</w:t>
            </w:r>
          </w:p>
        </w:tc>
        <w:tc>
          <w:tcPr>
            <w:tcW w:type="dxa" w:w="2946"/>
          </w:tcPr>
          <w:p>
            <w:r>
              <w:t>100% dos 3 pipelines (meta)</w:t>
            </w:r>
          </w:p>
        </w:tc>
      </w:tr>
      <w:tr>
        <w:tc>
          <w:tcPr>
            <w:tcW w:type="dxa" w:w="2946"/>
          </w:tcPr>
          <w:p>
            <w:r>
              <w:t>Pipelines anonimizados</w:t>
            </w:r>
          </w:p>
        </w:tc>
        <w:tc>
          <w:tcPr>
            <w:tcW w:type="dxa" w:w="2946"/>
          </w:tcPr>
          <w:p>
            <w:r>
              <w:t>0 de 3</w:t>
            </w:r>
          </w:p>
        </w:tc>
        <w:tc>
          <w:tcPr>
            <w:tcW w:type="dxa" w:w="2946"/>
          </w:tcPr>
          <w:p>
            <w:r>
              <w:t>3 de 3 (meta)</w:t>
            </w:r>
          </w:p>
        </w:tc>
      </w:tr>
      <w:tr>
        <w:tc>
          <w:tcPr>
            <w:tcW w:type="dxa" w:w="2946"/>
          </w:tcPr>
          <w:p>
            <w:r>
              <w:t>Prazo DSAR</w:t>
            </w:r>
          </w:p>
        </w:tc>
        <w:tc>
          <w:tcPr>
            <w:tcW w:type="dxa" w:w="2946"/>
          </w:tcPr>
          <w:p>
            <w:r>
              <w:t>sem rotina</w:t>
            </w:r>
          </w:p>
        </w:tc>
        <w:tc>
          <w:tcPr>
            <w:tcW w:type="dxa" w:w="2946"/>
          </w:tcPr>
          <w:p>
            <w:r>
              <w:t>até 15 dias (meta)</w:t>
            </w:r>
          </w:p>
        </w:tc>
      </w:tr>
    </w:tbl>
    <w:p>
      <w:pPr>
        <w:pStyle w:val="Heading2"/>
      </w:pPr>
      <w:r>
        <w:rPr>
          <w:color w:val="8B1E1E"/>
        </w:rPr>
        <w:t>7. Status final</w:t>
      </w:r>
    </w:p>
    <w:p>
      <w:r>
        <w:t>Desenvolvido em Setembro 2026, homologação pendente: mapear os 3 pipelines com os donos e publicar a tabela de retenção com o encarregado.</w:t>
      </w:r>
    </w:p>
    <w:p>
      <w:pPr>
        <w:pStyle w:val="Heading2"/>
      </w:pPr>
      <w:r>
        <w:rPr>
          <w:color w:val="8B1E1E"/>
        </w:rPr>
        <w:t>Decisões e tradeoffs</w:t>
      </w:r>
    </w:p>
    <w:p>
      <w:pPr>
        <w:pStyle w:val="ListBullet"/>
      </w:pPr>
      <w:r>
        <w:t>Clean Architecture escolhida sobre hexagonal puro e manter acoplado com E2E: testabilidade com ports desacoplados compensa o custo de mais arquivos, como registra o ADR-021.</w:t>
      </w:r>
    </w:p>
    <w:p>
      <w:pPr>
        <w:pStyle w:val="ListBullet"/>
      </w:pPr>
      <w:r>
        <w:t>Dependências de I/O como Protocol (LeadRepository, Notifier, Logger) com injeção no bootstrap: o serviço passa a depender de abstrações e o teste usa FakeRepo sem subir infra.</w:t>
      </w:r>
    </w:p>
    <w:p>
      <w:pPr>
        <w:pStyle w:val="ListBullet"/>
      </w:pPr>
      <w:r>
        <w:t>Rollout em shadow por 1 sprint com reconciliação diária e corte em divergência menor que 0,1 por cento, em vez de cutover direto: compara o módulo novo com o legado de 600 linhas sem expor listas de 5k a 80k leads a estado parcial.</w:t>
      </w:r>
    </w:p>
    <w:p>
      <w:pPr>
        <w:pStyle w:val="ListBullet"/>
      </w:pPr>
      <w:r>
        <w:t>Meta de cobertura de 85 por cento nos testes de porta com mocks, em vez de teste manual: o legado tinha 0 por cento de cobertura e 4 dependências de I/O acopladas, então o gate quantitativo impede regressão silenciosa.</w:t>
      </w:r>
    </w:p>
    <w:p>
      <w:pPr>
        <w:pStyle w:val="ListBullet"/>
      </w:pPr>
      <w:r>
        <w:t>Classes menores que 45 linhas com 1 responsabilidade por classe, aceitando mais arquivos: elimina SQL concatenado, falta de transação e falha silenciosa de CRM que já causou duplo contato.</w:t>
      </w:r>
    </w:p>
    <w:p>
      <w:pPr>
        <w:pStyle w:val="Heading2"/>
      </w:pPr>
      <w:r>
        <w:rPr>
          <w:color w:val="8B1E1E"/>
        </w:rPr>
        <w:t>Impacto no negócio</w:t>
      </w:r>
    </w:p>
    <w:p>
      <w:r>
        <w:t>O módulo dispara 3 a 5 campanhas por dia para listas de 5k a 80k leads, então cada falha silenciosa vira duplo contato e reclamação real. Sair de 600 linhas com 0 por cento de cobertura para classes menores que 45 linhas com alvo de 85 por cento reduz o tempo de alteração de deploy manual com teste manual para validação automática, baixa o risco de SQL injection e estado parcial sem transação, e evita o custo de hotfix em base grande com rollback simples por feature flag.</w:t>
      </w:r>
    </w:p>
    <w:p>
      <w:pPr>
        <w:pStyle w:val="Heading2"/>
      </w:pPr>
      <w:r>
        <w:rPr>
          <w:color w:val="8B1E1E"/>
        </w:rPr>
        <w:t>Referências de estudo</w:t>
      </w:r>
    </w:p>
    <w:p>
      <w:pPr>
        <w:pStyle w:val="ListBullet"/>
      </w:pPr>
      <w:r>
        <w:t>Curso: Clean Architecture e SOLID com Python, na Alura.</w:t>
      </w:r>
    </w:p>
    <w:p>
      <w:pPr>
        <w:pStyle w:val="ListBullet"/>
      </w:pPr>
      <w:r>
        <w:t>Vídeo: SOLID em código Python na prática, no YouTube.</w:t>
      </w:r>
    </w:p>
    <w:p>
      <w:pPr>
        <w:pStyle w:val="ListBullet"/>
      </w:pPr>
      <w:r>
        <w:t>Doc oficial: Documentação do Python sobre Protocol e tipagem estrutural, em docs.python.org.</w:t>
      </w:r>
    </w:p>
    <w:p>
      <w:pPr>
        <w:pStyle w:val="ListBullet"/>
      </w:pPr>
      <w:r>
        <w:t>Doc oficial: Documentação do pytest sobre fixtures e mocks, em docs.pytest.org.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