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8B4513"/>
          <w:sz w:val="28"/>
        </w:rPr>
        <w:t>PDI</w:t>
      </w:r>
    </w:p>
    <w:p>
      <w:pPr>
        <w:jc w:val="center"/>
      </w:pPr>
      <w:r>
        <w:rPr>
          <w:b/>
          <w:sz w:val="46"/>
        </w:rPr>
        <w:t>Scoping e Estimativas Técnicas: decomposição, buffers e cone da incerteza</w:t>
      </w:r>
    </w:p>
    <w:p>
      <w:pPr>
        <w:jc w:val="center"/>
      </w:pPr>
      <w:r>
        <w:rPr>
          <w:color w:val="6B7A8A"/>
          <w:sz w:val="24"/>
        </w:rPr>
        <w:t>Documento Técnico de PDI</w:t>
      </w:r>
    </w:p>
    <w:p>
      <w:pPr>
        <w:jc w:val="center"/>
      </w:pPr>
      <w:r>
        <w:rPr>
          <w:color w:val="495560"/>
          <w:sz w:val="22"/>
        </w:rPr>
        <w:t>Autor: PDI Marcos Luciano - marcosluciano.rodrigues@v4company.com</w:t>
        <w:br/>
      </w:r>
      <w:r>
        <w:rPr>
          <w:color w:val="495560"/>
          <w:sz w:val="22"/>
        </w:rPr>
        <w:t>Unidade: FV Marketing / V4 Company</w:t>
        <w:br/>
      </w:r>
      <w:r>
        <w:rPr>
          <w:color w:val="495560"/>
          <w:sz w:val="22"/>
        </w:rPr>
        <w:t>Data: Setembro 2026</w:t>
        <w:br/>
      </w:r>
      <w:r>
        <w:rPr>
          <w:color w:val="495560"/>
          <w:sz w:val="22"/>
        </w:rPr>
        <w:t>Área: Automação &amp; Infraestrutura</w:t>
        <w:br/>
      </w:r>
      <w:r>
        <w:rPr>
          <w:color w:val="495560"/>
          <w:sz w:val="22"/>
        </w:rPr>
        <w:t>Status: Entregue (desenvolvido)</w:t>
        <w:br/>
      </w:r>
    </w:p>
    <w:p>
      <w:r>
        <w:br w:type="page"/>
      </w:r>
    </w:p>
    <w:p>
      <w:pPr>
        <w:pStyle w:val="Heading2"/>
      </w:pPr>
      <w:r>
        <w:rPr>
          <w:color w:val="8B1E1E"/>
        </w:rPr>
        <w:t>1. Contexto</w:t>
      </w:r>
    </w:p>
    <w:p>
      <w:r>
        <w:t>A área de Automação &amp; Infraestrutura da FV Marketing entrega automações, integrações e relatórios dos quais a operação depende para campanhas e decisões semanais. Os compromissos de prazo saíam como número único, sem escopo escrito e sem buffer.</w:t>
      </w:r>
    </w:p>
    <w:p>
      <w:r>
        <w:t>O resultado era estouro recorrente, retrabalho de última hora e perda de credibilidade: a operação parou de confiar nos prazos e passou a planejar com margem própria, o que atrasa campanhas.</w:t>
      </w:r>
    </w:p>
    <w:p>
      <w:pPr>
        <w:pStyle w:val="Heading2"/>
      </w:pPr>
      <w:r>
        <w:rPr>
          <w:color w:val="8B1E1E"/>
        </w:rPr>
        <w:t>2. Diagnóstico</w:t>
      </w:r>
    </w:p>
    <w:p>
      <w:r>
        <w:t>Amostra de 6 entregas (ago/2026): desvio médio de 60% entre estimado e real, e só 30% tinham escopo escrito. Causas: pacotes grandes demais, estimativa sem consultar o executor, buffer cortado por pressão e escopo mudando sem reestimativa.</w:t>
      </w:r>
    </w:p>
    <w:p>
      <w:pPr>
        <w:pStyle w:val="ListBullet"/>
      </w:pPr>
      <w:r>
        <w:t>Número único comunica certeza que não existe</w:t>
      </w:r>
    </w:p>
    <w:p>
      <w:pPr>
        <w:pStyle w:val="ListBullet"/>
      </w:pPr>
      <w:r>
        <w:t>Pacote grande esconde risco</w:t>
      </w:r>
    </w:p>
    <w:p>
      <w:pPr>
        <w:pStyle w:val="ListBullet"/>
      </w:pPr>
      <w:r>
        <w:t>Sem histórico, cada estimativa recomeca do zero</w:t>
      </w:r>
    </w:p>
    <w:p>
      <w:pPr>
        <w:pStyle w:val="Heading2"/>
      </w:pPr>
      <w:r>
        <w:rPr>
          <w:color w:val="8B1E1E"/>
        </w:rPr>
        <w:t>3. Solução</w:t>
      </w:r>
    </w:p>
    <w:p>
      <w:r>
        <w:t>Método repetível em 5 passos: checklist de scoping (Definition of Ready), decomposição em pacotes de até 1 dia, estimativa de 3 pontos com PERT, buffer visível de 20% e faixa do cone da incerteza revisada em 3 marcos.</w:t>
      </w:r>
    </w:p>
    <w:p>
      <w:pPr>
        <w:pStyle w:val="ListBullet"/>
      </w:pPr>
      <w:r>
        <w:t>STANDARD-SCOPING-ESTIMATIVAS.md: regras, PERT, cone e anti-padroes</w:t>
      </w:r>
    </w:p>
    <w:p>
      <w:pPr>
        <w:pStyle w:val="ListBullet"/>
      </w:pPr>
      <w:r>
        <w:t>planilha-estimativa.md: template + exemplo real do relatório semanal (6 pacotes, 17h + 3,4h buffer, 4 dias úteis)</w:t>
      </w:r>
    </w:p>
    <w:p>
      <w:pPr>
        <w:pStyle w:val="ListBullet"/>
      </w:pPr>
      <w:r>
        <w:t>checklist-scoping.md: Definition of Ready para travar scoping incompleto</w:t>
      </w:r>
    </w:p>
    <w:p>
      <w:pPr>
        <w:pStyle w:val="Heading2"/>
      </w:pPr>
      <w:r>
        <w:rPr>
          <w:color w:val="8B1E1E"/>
        </w:rPr>
        <w:t>4. Como funciona</w:t>
      </w:r>
    </w:p>
    <w:p>
      <w:r>
        <w:t>Pedido com briefing passa pelo checklist, vira pacotes estimados em O/M/P, soma os E, adiciona 20% de buffer e comunica faixa conforme a fase. Nos 3 marcos, reestima o restante em 15 minutos e o cone se fecha.</w:t>
      </w:r>
    </w:p>
    <w:p>
      <w:pPr>
        <w:pStyle w:val="Heading2"/>
      </w:pPr>
      <w:r>
        <w:rPr>
          <w:color w:val="8B1E1E"/>
        </w:rPr>
        <w:t>5. Entregas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Arquivo</w:t>
            </w:r>
          </w:p>
        </w:tc>
        <w:tc>
          <w:tcPr>
            <w:tcW w:type="dxa" w:w="4419"/>
          </w:tcPr>
          <w:p>
            <w:r>
              <w:t>Conteúdo</w:t>
            </w:r>
          </w:p>
        </w:tc>
      </w:tr>
      <w:tr>
        <w:tc>
          <w:tcPr>
            <w:tcW w:type="dxa" w:w="4419"/>
          </w:tcPr>
          <w:p>
            <w:r>
              <w:t>1-standards/STANDARD-SCOPING-ESTIMATIVAS.md</w:t>
            </w:r>
          </w:p>
        </w:tc>
        <w:tc>
          <w:tcPr>
            <w:tcW w:type="dxa" w:w="4419"/>
          </w:tcPr>
          <w:p>
            <w:r>
              <w:t>Regras de decomposição, PERT, buffer, cone e anti-padroes</w:t>
            </w:r>
          </w:p>
        </w:tc>
      </w:tr>
      <w:tr>
        <w:tc>
          <w:tcPr>
            <w:tcW w:type="dxa" w:w="4419"/>
          </w:tcPr>
          <w:p>
            <w:r>
              <w:t>2-implementacao/planilha-estimativa.md</w:t>
            </w:r>
          </w:p>
        </w:tc>
        <w:tc>
          <w:tcPr>
            <w:tcW w:type="dxa" w:w="4419"/>
          </w:tcPr>
          <w:p>
            <w:r>
              <w:t>Template reutilizável + exemplo real preenchido</w:t>
            </w:r>
          </w:p>
        </w:tc>
      </w:tr>
      <w:tr>
        <w:tc>
          <w:tcPr>
            <w:tcW w:type="dxa" w:w="4419"/>
          </w:tcPr>
          <w:p>
            <w:r>
              <w:t>2-implementacao/checklist-scoping.md</w:t>
            </w:r>
          </w:p>
        </w:tc>
        <w:tc>
          <w:tcPr>
            <w:tcW w:type="dxa" w:w="4419"/>
          </w:tcPr>
          <w:p>
            <w:r>
              <w:t>Definition of Ready pré-estimativa</w:t>
            </w:r>
          </w:p>
        </w:tc>
      </w:tr>
      <w:tr>
        <w:tc>
          <w:tcPr>
            <w:tcW w:type="dxa" w:w="4419"/>
          </w:tcPr>
          <w:p>
            <w:r>
              <w:t>7-apresentacao/DECK-PDI.md</w:t>
            </w:r>
          </w:p>
        </w:tc>
        <w:tc>
          <w:tcPr>
            <w:tcW w:type="dxa" w:w="4419"/>
          </w:tcPr>
          <w:p>
            <w:r>
              <w:t>13 slides</w:t>
            </w:r>
          </w:p>
        </w:tc>
      </w:tr>
      <w:tr>
        <w:tc>
          <w:tcPr>
            <w:tcW w:type="dxa" w:w="4419"/>
          </w:tcPr>
          <w:p>
            <w:r>
              <w:t>7-apresentacao/DEMO-SCRIPT.md</w:t>
            </w:r>
          </w:p>
        </w:tc>
        <w:tc>
          <w:tcPr>
            <w:tcW w:type="dxa" w:w="4419"/>
          </w:tcPr>
          <w:p>
            <w:r>
              <w:t>Roteiro de demo de 10 min</w:t>
            </w:r>
          </w:p>
        </w:tc>
      </w:tr>
      <w:tr>
        <w:tc>
          <w:tcPr>
            <w:tcW w:type="dxa" w:w="4419"/>
          </w:tcPr>
          <w:p>
            <w:r>
              <w:t>7-apresentacao/ROTEIRO-DOMINIO.md</w:t>
            </w:r>
          </w:p>
        </w:tc>
        <w:tc>
          <w:tcPr>
            <w:tcW w:type="dxa" w:w="4419"/>
          </w:tcPr>
          <w:p>
            <w:r>
              <w:t>5 perguntas e respostas</w:t>
            </w:r>
          </w:p>
        </w:tc>
      </w:tr>
    </w:tbl>
    <w:p>
      <w:pPr>
        <w:pStyle w:val="Heading2"/>
      </w:pPr>
      <w:r>
        <w:rPr>
          <w:color w:val="8B1E1E"/>
        </w:rPr>
        <w:t>6. Métricas de sucesso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t>Métrica</w:t>
            </w:r>
          </w:p>
        </w:tc>
        <w:tc>
          <w:tcPr>
            <w:tcW w:type="dxa" w:w="2946"/>
          </w:tcPr>
          <w:p>
            <w:r>
              <w:t>Atual</w:t>
            </w:r>
          </w:p>
        </w:tc>
        <w:tc>
          <w:tcPr>
            <w:tcW w:type="dxa" w:w="2946"/>
          </w:tcPr>
          <w:p>
            <w:r>
              <w:t>Meta</w:t>
            </w:r>
          </w:p>
        </w:tc>
      </w:tr>
      <w:tr>
        <w:tc>
          <w:tcPr>
            <w:tcW w:type="dxa" w:w="2946"/>
          </w:tcPr>
          <w:p>
            <w:r>
              <w:t>Desvio médio estimado vs real</w:t>
            </w:r>
          </w:p>
        </w:tc>
        <w:tc>
          <w:tcPr>
            <w:tcW w:type="dxa" w:w="2946"/>
          </w:tcPr>
          <w:p>
            <w:r>
              <w:t>60% (6 entregas, ago/2026)</w:t>
            </w:r>
          </w:p>
        </w:tc>
        <w:tc>
          <w:tcPr>
            <w:tcW w:type="dxa" w:w="2946"/>
          </w:tcPr>
          <w:p>
            <w:r>
              <w:t>25% (meta)</w:t>
            </w:r>
          </w:p>
        </w:tc>
      </w:tr>
      <w:tr>
        <w:tc>
          <w:tcPr>
            <w:tcW w:type="dxa" w:w="2946"/>
          </w:tcPr>
          <w:p>
            <w:r>
              <w:t>Entregas com escopo escrito</w:t>
            </w:r>
          </w:p>
        </w:tc>
        <w:tc>
          <w:tcPr>
            <w:tcW w:type="dxa" w:w="2946"/>
          </w:tcPr>
          <w:p>
            <w:r>
              <w:t>30%</w:t>
            </w:r>
          </w:p>
        </w:tc>
        <w:tc>
          <w:tcPr>
            <w:tcW w:type="dxa" w:w="2946"/>
          </w:tcPr>
          <w:p>
            <w:r>
              <w:t>100% (meta)</w:t>
            </w:r>
          </w:p>
        </w:tc>
      </w:tr>
      <w:tr>
        <w:tc>
          <w:tcPr>
            <w:tcW w:type="dxa" w:w="2946"/>
          </w:tcPr>
          <w:p>
            <w:r>
              <w:t>Reestimativas por projeto</w:t>
            </w:r>
          </w:p>
        </w:tc>
        <w:tc>
          <w:tcPr>
            <w:tcW w:type="dxa" w:w="2946"/>
          </w:tcPr>
          <w:p>
            <w:r>
              <w:t>0</w:t>
            </w:r>
          </w:p>
        </w:tc>
        <w:tc>
          <w:tcPr>
            <w:tcW w:type="dxa" w:w="2946"/>
          </w:tcPr>
          <w:p>
            <w:r>
              <w:t>3 por projeto (meta)</w:t>
            </w:r>
          </w:p>
        </w:tc>
      </w:tr>
    </w:tbl>
    <w:p>
      <w:r>
        <w:rPr>
          <w:b/>
        </w:rPr>
        <w:t xml:space="preserve">Nota: </w:t>
      </w:r>
      <w:r>
        <w:t>Valores de meta são projetados e serão medidos nas próximas 4 entregas com o método aplicado.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