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ADRs, Architecture Decision Records com Ciclo de Vida e Exemplos Reais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Marcos Luciano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Decisões como por que n8n ou por que Supabase viviam na cabeça de uma pessoa ou no chat. Três decisões refeitas no trimestre por falta de registro.</w:t>
      </w:r>
    </w:p>
    <w:p>
      <w:pPr>
        <w:pStyle w:val="Heading2"/>
      </w:pPr>
      <w:r>
        <w:rPr>
          <w:color w:val="8B1E1E"/>
        </w:rPr>
        <w:t>2. Diagnóstico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Sintoma</w:t>
            </w:r>
          </w:p>
        </w:tc>
        <w:tc>
          <w:tcPr>
            <w:tcW w:type="dxa" w:w="4419"/>
          </w:tcPr>
          <w:p>
            <w:r>
              <w:t>Causa</w:t>
            </w:r>
          </w:p>
        </w:tc>
      </w:tr>
      <w:tr>
        <w:tc>
          <w:tcPr>
            <w:tcW w:type="dxa" w:w="4419"/>
          </w:tcPr>
          <w:p>
            <w:r>
              <w:t>Mesma decisão rediscutida</w:t>
            </w:r>
          </w:p>
        </w:tc>
        <w:tc>
          <w:tcPr>
            <w:tcW w:type="dxa" w:w="4419"/>
          </w:tcPr>
          <w:p>
            <w:r>
              <w:t>Motivo e alternativas não registrados</w:t>
            </w:r>
          </w:p>
        </w:tc>
      </w:tr>
      <w:tr>
        <w:tc>
          <w:tcPr>
            <w:tcW w:type="dxa" w:w="4419"/>
          </w:tcPr>
          <w:p>
            <w:r>
              <w:t>Fornecedor novo zera a conversa</w:t>
            </w:r>
          </w:p>
        </w:tc>
        <w:tc>
          <w:tcPr>
            <w:tcW w:type="dxa" w:w="4419"/>
          </w:tcPr>
          <w:p>
            <w:r>
              <w:t>Sem critério de comparação antigo</w:t>
            </w:r>
          </w:p>
        </w:tc>
      </w:tr>
      <w:tr>
        <w:tc>
          <w:tcPr>
            <w:tcW w:type="dxa" w:w="4419"/>
          </w:tcPr>
          <w:p>
            <w:r>
              <w:t>Saída de pessoa apaga história</w:t>
            </w:r>
          </w:p>
        </w:tc>
        <w:tc>
          <w:tcPr>
            <w:tcW w:type="dxa" w:w="4419"/>
          </w:tcPr>
          <w:p>
            <w:r>
              <w:t>Decisão só na memória individual</w:t>
            </w:r>
          </w:p>
        </w:tc>
      </w:tr>
    </w:tbl>
    <w:p>
      <w:pPr>
        <w:pStyle w:val="Heading2"/>
      </w:pPr>
      <w:r>
        <w:rPr>
          <w:color w:val="8B1E1E"/>
        </w:rPr>
        <w:t>3. Solução</w:t>
      </w:r>
    </w:p>
    <w:p>
      <w:r>
        <w:t>ADRs numerados e imutáveis em docs/adr/NNNN-titulo.md: 5 seções em 1 página, ciclo Proposta, Em avaliação, Aceita, Implementada, com saídas Rejeitada e Superada.</w:t>
      </w:r>
    </w:p>
    <w:p>
      <w:r>
        <w:rPr>
          <w:b/>
        </w:rPr>
        <w:t xml:space="preserve">Nota: </w:t>
      </w:r>
      <w:r>
        <w:t>Consequência sem métrica não entra. Todo ADR diz o que vai monitorar.</w:t>
      </w:r>
    </w:p>
    <w:p>
      <w:pPr>
        <w:pStyle w:val="Heading2"/>
      </w:pPr>
      <w:r>
        <w:rPr>
          <w:color w:val="8B1E1E"/>
        </w:rPr>
        <w:t>4. Exemplos reais</w:t>
      </w:r>
    </w:p>
    <w:p>
      <w:r>
        <w:t>ADR-001: n8n self-hosted. Descartados fila própria (3 semanas sem UI) e Apps Script (sem log nem retry). Monitor: falha de coleta acima de 5 por cento em 24h.</w:t>
      </w:r>
    </w:p>
    <w:p>
      <w:r>
        <w:t>ADR-002: Supabase Postgres com contas, coletas e erros. Descartados SQLite (sem concorrência) e planilha (sem integridade). Monitor: fila de erros por dia.</w:t>
      </w:r>
    </w:p>
    <w:p>
      <w:pPr>
        <w:pStyle w:val="Heading2"/>
      </w:pPr>
      <w:r>
        <w:rPr>
          <w:color w:val="8B1E1E"/>
        </w:rPr>
        <w:t>5. Entregas</w:t>
      </w:r>
    </w:p>
    <w:p>
      <w:pPr>
        <w:pStyle w:val="ListBullet"/>
      </w:pPr>
      <w:r>
        <w:t>1-standards/01-formato-e-ciclo-de-vida-adr.md: formato e ciclo.</w:t>
      </w:r>
    </w:p>
    <w:p>
      <w:pPr>
        <w:pStyle w:val="ListBullet"/>
      </w:pPr>
      <w:r>
        <w:t>1-standards/02-exemplos-reais-adr.md: resumos comentados.</w:t>
      </w:r>
    </w:p>
    <w:p>
      <w:pPr>
        <w:pStyle w:val="ListBullet"/>
      </w:pPr>
      <w:r>
        <w:t>2-implementacao/01-template-adr.md: template de 1 página.</w:t>
      </w:r>
    </w:p>
    <w:p>
      <w:pPr>
        <w:pStyle w:val="ListBullet"/>
      </w:pPr>
      <w:r>
        <w:t>02-adr-001 e 03-adr-002: ADRs reais integrais.</w:t>
      </w:r>
    </w:p>
    <w:p>
      <w:pPr>
        <w:pStyle w:val="Heading2"/>
      </w:pPr>
      <w:r>
        <w:rPr>
          <w:color w:val="8B1E1E"/>
        </w:rPr>
        <w:t>6. Métricas e próximos passos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ADRs registrados</w:t>
            </w:r>
          </w:p>
        </w:tc>
        <w:tc>
          <w:tcPr>
            <w:tcW w:type="dxa" w:w="2946"/>
          </w:tcPr>
          <w:p>
            <w:r>
              <w:t>2</w:t>
            </w:r>
          </w:p>
        </w:tc>
        <w:tc>
          <w:tcPr>
            <w:tcW w:type="dxa" w:w="2946"/>
          </w:tcPr>
          <w:p>
            <w:r>
              <w:t>6</w:t>
            </w:r>
          </w:p>
        </w:tc>
      </w:tr>
      <w:tr>
        <w:tc>
          <w:tcPr>
            <w:tcW w:type="dxa" w:w="2946"/>
          </w:tcPr>
          <w:p>
            <w:r>
              <w:t>Decisões refeitas no trimestre</w:t>
            </w:r>
          </w:p>
        </w:tc>
        <w:tc>
          <w:tcPr>
            <w:tcW w:type="dxa" w:w="2946"/>
          </w:tcPr>
          <w:p>
            <w:r>
              <w:t>3</w:t>
            </w:r>
          </w:p>
        </w:tc>
        <w:tc>
          <w:tcPr>
            <w:tcW w:type="dxa" w:w="2946"/>
          </w:tcPr>
          <w:p>
            <w:r>
              <w:t>0</w:t>
            </w:r>
          </w:p>
        </w:tc>
      </w:tr>
      <w:tr>
        <w:tc>
          <w:tcPr>
            <w:tcW w:type="dxa" w:w="2946"/>
          </w:tcPr>
          <w:p>
            <w:r>
              <w:t>Tempo para achar um motivo</w:t>
            </w:r>
          </w:p>
        </w:tc>
        <w:tc>
          <w:tcPr>
            <w:tcW w:type="dxa" w:w="2946"/>
          </w:tcPr>
          <w:p>
            <w:r>
              <w:t>dias</w:t>
            </w:r>
          </w:p>
        </w:tc>
        <w:tc>
          <w:tcPr>
            <w:tcW w:type="dxa" w:w="2946"/>
          </w:tcPr>
          <w:p>
            <w:r>
              <w:t>minutos</w:t>
            </w:r>
          </w:p>
        </w:tc>
      </w:tr>
    </w:tbl>
    <w:p>
      <w:r>
        <w:t>Próximos passos: criar docs/adr no repo, exigir ADR para decisão cara, revisão anual com dono definido.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