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Carga Sustentável e Limites: dizer não, WIP pessoal e sinais de sobrecarga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Marcos Luciano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Setembro 2026</w:t>
        <w:br/>
      </w:r>
      <w:r>
        <w:rPr>
          <w:color w:val="495560"/>
          <w:sz w:val="22"/>
        </w:rPr>
        <w:t>Área: Automação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Aceitar tudo gera fila paralela infinita: 6 frentes abertas, nenhuma fechada, qualidade caindo e cansaço subindo. Cada sim novo é um não silencioso para um prazo já assumido.</w:t>
      </w:r>
    </w:p>
    <w:p>
      <w:r>
        <w:t>Esta atividade instala um limite explícito de trabalho em progresso (WIP pessoal de 3 itens), um roteiro para dizer não sem romper relação e um semáforo de sobrecarga com ação definida por nível.</w:t>
      </w:r>
    </w:p>
    <w:p>
      <w:pPr>
        <w:pStyle w:val="Heading2"/>
      </w:pPr>
      <w:r>
        <w:rPr>
          <w:color w:val="8B1E1E"/>
        </w:rPr>
        <w:t>2. Diagnóstico</w:t>
      </w:r>
    </w:p>
    <w:p>
      <w:pPr>
        <w:pStyle w:val="ListBullet"/>
      </w:pPr>
      <w:r>
        <w:t>Frentes demais em paralelo: todas andam a 10% e nenhuma fecha.</w:t>
      </w:r>
    </w:p>
    <w:p>
      <w:pPr>
        <w:pStyle w:val="ListBullet"/>
      </w:pPr>
      <w:r>
        <w:t>Carga invisível: favores e rapidinhos não entram em plano nenhum e somem horas.</w:t>
      </w:r>
    </w:p>
    <w:p>
      <w:pPr>
        <w:pStyle w:val="ListBullet"/>
      </w:pPr>
      <w:r>
        <w:t>Sem sinal de alerta: a sobrecarga só aparece quando já virou atraso ou esgotamento.</w:t>
      </w:r>
    </w:p>
    <w:p>
      <w:pPr>
        <w:pStyle w:val="Heading2"/>
      </w:pPr>
      <w:r>
        <w:rPr>
          <w:color w:val="8B1E1E"/>
        </w:rPr>
        <w:t>3. Solução</w:t>
      </w:r>
    </w:p>
    <w:p>
      <w:pPr>
        <w:pStyle w:val="ListBullet"/>
      </w:pPr>
      <w:r>
        <w:t>WIP de 3: 1 entrega principal, 1 secundária e 1 operacional; resto é fila ordenada.</w:t>
      </w:r>
    </w:p>
    <w:p>
      <w:pPr>
        <w:pStyle w:val="ListBullet"/>
      </w:pPr>
      <w:r>
        <w:t>Roteiro NAMA de negativa: não claro, motivo em uma frase, alternativa concreta e acordo de retorno.</w:t>
      </w:r>
    </w:p>
    <w:p>
      <w:pPr>
        <w:pStyle w:val="ListBullet"/>
      </w:pPr>
      <w:r>
        <w:t>Semáforo verde, amarelo e vermelho com revisão de sexta de 10 minutos.</w:t>
      </w:r>
    </w:p>
    <w:p>
      <w:pPr>
        <w:pStyle w:val="Heading2"/>
      </w:pPr>
      <w:r>
        <w:rPr>
          <w:color w:val="8B1E1E"/>
        </w:rPr>
        <w:t>4. Como funciona</w:t>
      </w:r>
    </w:p>
    <w:p>
      <w:r>
        <w:t>INVENTARIAR todas as frentes incluindo favores, LIMITAR a execução em 3 slots, NEGAR o excedente com o roteiro, MONITORAR o semáforo toda sexta e AGIR: no vermelho, trava total de entrada e renegociação de 1 prazo em 48 h.</w:t>
      </w:r>
    </w:p>
    <w:p>
      <w:pPr>
        <w:pStyle w:val="Heading2"/>
      </w:pPr>
      <w:r>
        <w:rPr>
          <w:color w:val="8B1E1E"/>
        </w:rPr>
        <w:t>5. Entregas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Arquivo</w:t>
            </w:r>
          </w:p>
        </w:tc>
        <w:tc>
          <w:tcPr>
            <w:tcW w:type="dxa" w:w="4419"/>
          </w:tcPr>
          <w:p>
            <w:r>
              <w:t>Conteúdo</w:t>
            </w:r>
          </w:p>
        </w:tc>
      </w:tr>
      <w:tr>
        <w:tc>
          <w:tcPr>
            <w:tcW w:type="dxa" w:w="4419"/>
          </w:tcPr>
          <w:p>
            <w:r>
              <w:t>1-standards/01-guia-dizer-nao.md</w:t>
            </w:r>
          </w:p>
        </w:tc>
        <w:tc>
          <w:tcPr>
            <w:tcW w:type="dxa" w:w="4419"/>
          </w:tcPr>
          <w:p>
            <w:r>
              <w:t>Roteiro NAMA e frases prontas por situação</w:t>
            </w:r>
          </w:p>
        </w:tc>
      </w:tr>
      <w:tr>
        <w:tc>
          <w:tcPr>
            <w:tcW w:type="dxa" w:w="4419"/>
          </w:tcPr>
          <w:p>
            <w:r>
              <w:t>1-standards/02-wip-pessoal-sinais-sobrecarga.md</w:t>
            </w:r>
          </w:p>
        </w:tc>
        <w:tc>
          <w:tcPr>
            <w:tcW w:type="dxa" w:w="4419"/>
          </w:tcPr>
          <w:p>
            <w:r>
              <w:t>WIP de 3, semáforo e revisão semanal</w:t>
            </w:r>
          </w:p>
        </w:tc>
      </w:tr>
      <w:tr>
        <w:tc>
          <w:tcPr>
            <w:tcW w:type="dxa" w:w="4419"/>
          </w:tcPr>
          <w:p>
            <w:r>
              <w:t>2-implementacao/contrato-limites-wip.md</w:t>
            </w:r>
          </w:p>
        </w:tc>
        <w:tc>
          <w:tcPr>
            <w:tcW w:type="dxa" w:w="4419"/>
          </w:tcPr>
          <w:p>
            <w:r>
              <w:t>Contrato assinável de limites e travas</w:t>
            </w:r>
          </w:p>
        </w:tc>
      </w:tr>
      <w:tr>
        <w:tc>
          <w:tcPr>
            <w:tcW w:type="dxa" w:w="4419"/>
          </w:tcPr>
          <w:p>
            <w:r>
              <w:t>2-implementacao/inventario-carga-semanal.md</w:t>
            </w:r>
          </w:p>
        </w:tc>
        <w:tc>
          <w:tcPr>
            <w:tcW w:type="dxa" w:w="4419"/>
          </w:tcPr>
          <w:p>
            <w:r>
              <w:t>Inventário semanal com enquadramento</w:t>
            </w:r>
          </w:p>
        </w:tc>
      </w:tr>
      <w:tr>
        <w:tc>
          <w:tcPr>
            <w:tcW w:type="dxa" w:w="4419"/>
          </w:tcPr>
          <w:p>
            <w:r>
              <w:t>7-apresentacao/DECK-PDI.md</w:t>
            </w:r>
          </w:p>
        </w:tc>
        <w:tc>
          <w:tcPr>
            <w:tcW w:type="dxa" w:w="4419"/>
          </w:tcPr>
          <w:p>
            <w:r>
              <w:t>Deck de 14 slides</w:t>
            </w:r>
          </w:p>
        </w:tc>
      </w:tr>
      <w:tr>
        <w:tc>
          <w:tcPr>
            <w:tcW w:type="dxa" w:w="4419"/>
          </w:tcPr>
          <w:p>
            <w:r>
              <w:t>7-apresentacao/DEMO-SCRIPT.md</w:t>
            </w:r>
          </w:p>
        </w:tc>
        <w:tc>
          <w:tcPr>
            <w:tcW w:type="dxa" w:w="4419"/>
          </w:tcPr>
          <w:p>
            <w:r>
              <w:t>Roteiro de demonstração de 8 minutos</w:t>
            </w:r>
          </w:p>
        </w:tc>
      </w:tr>
      <w:tr>
        <w:tc>
          <w:tcPr>
            <w:tcW w:type="dxa" w:w="4419"/>
          </w:tcPr>
          <w:p>
            <w:r>
              <w:t>7-apresentacao/ROTEIRO-DOMINIO.md</w:t>
            </w:r>
          </w:p>
        </w:tc>
        <w:tc>
          <w:tcPr>
            <w:tcW w:type="dxa" w:w="4419"/>
          </w:tcPr>
          <w:p>
            <w:r>
              <w:t>5 perguntas e respostas de domínio</w:t>
            </w:r>
          </w:p>
        </w:tc>
      </w:tr>
    </w:tbl>
    <w:p>
      <w:pPr>
        <w:pStyle w:val="Heading2"/>
      </w:pPr>
      <w:r>
        <w:rPr>
          <w:color w:val="8B1E1E"/>
        </w:rPr>
        <w:t>6.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Frentes simultâneas abertas</w:t>
            </w:r>
          </w:p>
        </w:tc>
        <w:tc>
          <w:tcPr>
            <w:tcW w:type="dxa" w:w="2946"/>
          </w:tcPr>
          <w:p>
            <w:r>
              <w:t>sem dado</w:t>
            </w:r>
          </w:p>
        </w:tc>
        <w:tc>
          <w:tcPr>
            <w:tcW w:type="dxa" w:w="2946"/>
          </w:tcPr>
          <w:p>
            <w:r>
              <w:t>3 no máximo (meta)</w:t>
            </w:r>
          </w:p>
        </w:tc>
      </w:tr>
      <w:tr>
        <w:tc>
          <w:tcPr>
            <w:tcW w:type="dxa" w:w="2946"/>
          </w:tcPr>
          <w:p>
            <w:r>
              <w:t>Solicitações recusadas ou renegociadas por mês</w:t>
            </w:r>
          </w:p>
        </w:tc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4 (meta)</w:t>
            </w:r>
          </w:p>
        </w:tc>
      </w:tr>
      <w:tr>
        <w:tc>
          <w:tcPr>
            <w:tcW w:type="dxa" w:w="2946"/>
          </w:tcPr>
          <w:p>
            <w:r>
              <w:t>Semanas em nível vermelho por trimestre</w:t>
            </w:r>
          </w:p>
        </w:tc>
        <w:tc>
          <w:tcPr>
            <w:tcW w:type="dxa" w:w="2946"/>
          </w:tcPr>
          <w:p>
            <w:r>
              <w:t>sem dado</w:t>
            </w:r>
          </w:p>
        </w:tc>
        <w:tc>
          <w:tcPr>
            <w:tcW w:type="dxa" w:w="2946"/>
          </w:tcPr>
          <w:p>
            <w:r>
              <w:t>0 (meta)</w:t>
            </w:r>
          </w:p>
        </w:tc>
      </w:tr>
    </w:tbl>
    <w:p>
      <w:pPr>
        <w:pStyle w:val="Heading2"/>
      </w:pPr>
      <w:r>
        <w:rPr>
          <w:color w:val="8B1E1E"/>
        </w:rPr>
        <w:t>7. Referências e status</w:t>
      </w:r>
    </w:p>
    <w:p>
      <w:pPr>
        <w:pStyle w:val="ListBullet"/>
      </w:pPr>
      <w:r>
        <w:t>Curso: Work Smarter, Not Harder, Coursera: https://www.coursera.org/learn/work-smarter-not-harder</w:t>
      </w:r>
    </w:p>
    <w:p>
      <w:pPr>
        <w:pStyle w:val="ListBullet"/>
      </w:pPr>
      <w:r>
        <w:t>Vídeo: Brené Brown, The Power of Vulnerability, TED: https://www.youtube.com/watch?v=iCvmsMzlF7o</w:t>
      </w:r>
    </w:p>
    <w:p>
      <w:pPr>
        <w:pStyle w:val="ListBullet"/>
      </w:pPr>
      <w:r>
        <w:t>Doc: Atlassian, limites de WIP no Kanban: https://www.atlassian.com/agile/kanban/wip-limits</w:t>
      </w:r>
    </w:p>
    <w:p>
      <w:pPr>
        <w:pStyle w:val="ListBullet"/>
      </w:pPr>
      <w:r>
        <w:t>Doc: OMS, perguntas e respostas sobre estresse: https://www.who.int/news-room/questions-and-answers/item/stress</w:t>
      </w:r>
    </w:p>
    <w:p>
      <w:r>
        <w:t>Status: Entregue (desenvolvido, homologação pendente). Próximo passo: preencher o inventário e cortar até caber no WIP de 3.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