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Refatoração de Módulo Legado com SOLID e Clean Architecture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Software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Um módulo crítico de orquestração de campanhas estava acoplado: a classe CampaignService misturava regra de negócio, acesso a banco, envio de e-mail e chamadas de API de CRM em um único arquivo de 600+ linhas, impossível de testar.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SRP violado: uma classe cuidava de regra, DB, e-mail e CRM</w:t>
      </w:r>
    </w:p>
    <w:p>
      <w:pPr>
        <w:pStyle w:val="ListBullet"/>
      </w:pPr>
      <w:r>
        <w:t>OCP violado: mudar canal exigia editar o método central</w:t>
      </w:r>
    </w:p>
    <w:p>
      <w:pPr>
        <w:pStyle w:val="ListBullet"/>
      </w:pPr>
      <w:r>
        <w:t>DIP violado: camada de aplicação dependia de psycopg2 diretamente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Aplicação dos 5 princípios SOLID documentados antes/depois</w:t>
      </w:r>
    </w:p>
    <w:p>
      <w:pPr>
        <w:pStyle w:val="ListBullet"/>
      </w:pPr>
      <w:r>
        <w:t>Separação em camadas: domain / application / infrastructure</w:t>
      </w:r>
    </w:p>
    <w:p>
      <w:pPr>
        <w:pStyle w:val="ListBullet"/>
      </w:pPr>
      <w:r>
        <w:t>Ports (LeadRepository, Notifier) e adapters desacoplados</w:t>
      </w:r>
    </w:p>
    <w:p>
      <w:pPr>
        <w:pStyle w:val="ListBullet"/>
      </w:pPr>
      <w:r>
        <w:t>Injeção de dependência no CampaignService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SOLID-BEFORE-AFTER.md (mapeamento antes/depois)</w:t>
      </w:r>
    </w:p>
    <w:p>
      <w:pPr>
        <w:pStyle w:val="ListBullet"/>
      </w:pPr>
      <w:r>
        <w:t>before_campaign_service.py (código legado)</w:t>
      </w:r>
    </w:p>
    <w:p>
      <w:pPr>
        <w:pStyle w:val="ListBullet"/>
      </w:pPr>
      <w:r>
        <w:t>after_campaign_service.py (Clean Architecture)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Acoplamento (responsabilidades)</w:t>
            </w:r>
          </w:p>
        </w:tc>
        <w:tc>
          <w:tcPr>
            <w:tcW w:type="dxa" w:w="2946"/>
          </w:tcPr>
          <w:p>
            <w:r>
              <w:t>4 em 1 classe</w:t>
            </w:r>
          </w:p>
        </w:tc>
        <w:tc>
          <w:tcPr>
            <w:tcW w:type="dxa" w:w="2946"/>
          </w:tcPr>
          <w:p>
            <w:r>
              <w:t>1 por classe</w:t>
            </w:r>
          </w:p>
        </w:tc>
      </w:tr>
      <w:tr>
        <w:tc>
          <w:tcPr>
            <w:tcW w:type="dxa" w:w="2946"/>
          </w:tcPr>
          <w:p>
            <w:r>
              <w:t>Testabilidade</w:t>
            </w:r>
          </w:p>
        </w:tc>
        <w:tc>
          <w:tcPr>
            <w:tcW w:type="dxa" w:w="2946"/>
          </w:tcPr>
          <w:p>
            <w:r>
              <w:t>Nula</w:t>
            </w:r>
          </w:p>
        </w:tc>
        <w:tc>
          <w:tcPr>
            <w:tcW w:type="dxa" w:w="2946"/>
          </w:tcPr>
          <w:p>
            <w:r>
              <w:t>Alta (ports)</w:t>
            </w:r>
          </w:p>
        </w:tc>
      </w:tr>
      <w:tr>
        <w:tc>
          <w:tcPr>
            <w:tcW w:type="dxa" w:w="2946"/>
          </w:tcPr>
          <w:p>
            <w:r>
              <w:t>Linhas por classe</w:t>
            </w:r>
          </w:p>
        </w:tc>
        <w:tc>
          <w:tcPr>
            <w:tcW w:type="dxa" w:w="2946"/>
          </w:tcPr>
          <w:p>
            <w:r>
              <w:t>600+</w:t>
            </w:r>
          </w:p>
        </w:tc>
        <w:tc>
          <w:tcPr>
            <w:tcW w:type="dxa" w:w="2946"/>
          </w:tcPr>
          <w:p>
            <w:r>
              <w:t>&lt; 40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Aplicar o mesmo padrão aos demais módulos legados</w:t>
      </w:r>
    </w:p>
    <w:p>
      <w:pPr>
        <w:pStyle w:val="ListBullet"/>
      </w:pPr>
      <w:r>
        <w:t>Adicionar suíte de testes sobre os ports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