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Trilha NVIDIA Deep Learning Institute + Pipelines de Dados para IA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Engenharia de IA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Fundamentar a equipe em pipelines de dados eficientes para IA, base para os agentes e RAG.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Ingestão ad-hoc sem chunking consistente</w:t>
      </w:r>
    </w:p>
    <w:p>
      <w:pPr>
        <w:pStyle w:val="ListBullet"/>
      </w:pPr>
      <w:r>
        <w:t>Embeddings sem batch assíncrono (estrangulamento de API)</w:t>
      </w:r>
    </w:p>
    <w:p>
      <w:pPr>
        <w:pStyle w:val="ListBullet"/>
      </w:pPr>
      <w:r>
        <w:t>Falta de versionamento de dataset de embeddings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Estágios: ingest → chunk → embed → store → serve</w:t>
      </w:r>
    </w:p>
    <w:p>
      <w:pPr>
        <w:pStyle w:val="ListBullet"/>
      </w:pPr>
      <w:r>
        <w:t>Chunk semântico (512-1024 tokens, overlap 10%)</w:t>
      </w:r>
    </w:p>
    <w:p>
      <w:pPr>
        <w:pStyle w:val="ListBullet"/>
      </w:pPr>
      <w:r>
        <w:t>Embed em batch assíncrono</w:t>
      </w:r>
    </w:p>
    <w:p>
      <w:pPr>
        <w:pStyle w:val="ListBullet"/>
      </w:pPr>
      <w:r>
        <w:t>pgvector com índice HNSW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DATA-PIPELINE-AI.md (guia)</w:t>
      </w:r>
    </w:p>
    <w:p>
      <w:pPr>
        <w:pStyle w:val="ListBullet"/>
      </w:pPr>
      <w:r>
        <w:t>TRILHA.md (registro de conclusão)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Pipeline documentado</w:t>
            </w:r>
          </w:p>
        </w:tc>
        <w:tc>
          <w:tcPr>
            <w:tcW w:type="dxa" w:w="2946"/>
          </w:tcPr>
          <w:p>
            <w:r>
              <w:t>Não</w:t>
            </w:r>
          </w:p>
        </w:tc>
        <w:tc>
          <w:tcPr>
            <w:tcW w:type="dxa" w:w="2946"/>
          </w:tcPr>
          <w:p>
            <w:r>
              <w:t>Sim</w:t>
            </w:r>
          </w:p>
        </w:tc>
      </w:tr>
      <w:tr>
        <w:tc>
          <w:tcPr>
            <w:tcW w:type="dxa" w:w="2946"/>
          </w:tcPr>
          <w:p>
            <w:r>
              <w:t>Trilha NVIDIA DLI</w:t>
            </w:r>
          </w:p>
        </w:tc>
        <w:tc>
          <w:tcPr>
            <w:tcW w:type="dxa" w:w="2946"/>
          </w:tcPr>
          <w:p>
            <w:r>
              <w:t>Em andamento</w:t>
            </w:r>
          </w:p>
        </w:tc>
        <w:tc>
          <w:tcPr>
            <w:tcW w:type="dxa" w:w="2946"/>
          </w:tcPr>
          <w:p>
            <w:r>
              <w:t>Concluída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Aplicar o pipeline no RAG do Módulo 04-A2</w:t>
      </w:r>
    </w:p>
    <w:p>
      <w:pPr>
        <w:pStyle w:val="ListBullet"/>
      </w:pPr>
      <w:r>
        <w:t>Versionar dataset de embeddings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