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4513"/>
          <w:sz w:val="28"/>
        </w:rPr>
        <w:t>PDI</w:t>
      </w:r>
    </w:p>
    <w:p>
      <w:pPr>
        <w:jc w:val="center"/>
      </w:pPr>
      <w:r>
        <w:rPr>
          <w:b/>
          <w:sz w:val="48"/>
        </w:rPr>
        <w:t>Microsserviço Consumidor Assíncrono Idempotente</w:t>
      </w:r>
    </w:p>
    <w:p>
      <w:pPr>
        <w:jc w:val="center"/>
      </w:pPr>
      <w:r>
        <w:rPr>
          <w:color w:val="6B7A8A"/>
          <w:sz w:val="24"/>
        </w:rPr>
        <w:t>Relatório Técnico</w:t>
      </w:r>
    </w:p>
    <w:p>
      <w:pPr>
        <w:jc w:val="center"/>
      </w:pPr>
      <w:r>
        <w:rPr>
          <w:color w:val="495560"/>
          <w:sz w:val="22"/>
        </w:rPr>
        <w:t>Autor: Marcos Perettoco</w:t>
        <w:br/>
      </w:r>
      <w:r>
        <w:rPr>
          <w:color w:val="495560"/>
          <w:sz w:val="22"/>
        </w:rPr>
        <w:t>Unidade: V4 Company / FV Marketing</w:t>
        <w:br/>
      </w:r>
      <w:r>
        <w:rPr>
          <w:color w:val="495560"/>
          <w:sz w:val="22"/>
        </w:rPr>
        <w:t>Data: 25/08/2026</w:t>
        <w:br/>
      </w:r>
      <w:r>
        <w:rPr>
          <w:color w:val="495560"/>
          <w:sz w:val="22"/>
        </w:rPr>
        <w:t>Área: Sistemas Distribuídos</w:t>
        <w:br/>
      </w:r>
      <w:r>
        <w:rPr>
          <w:color w:val="495560"/>
          <w:sz w:val="22"/>
        </w:rPr>
        <w:t>Status: Entregue (desenvolvido)</w:t>
        <w:br/>
      </w:r>
    </w:p>
    <w:p>
      <w:r>
        <w:br w:type="page"/>
      </w:r>
    </w:p>
    <w:p>
      <w:pPr>
        <w:pStyle w:val="Heading1"/>
      </w:pPr>
      <w:r>
        <w:rPr>
          <w:color w:val="8B4513"/>
        </w:rPr>
        <w:t>1. Contexto e Problema</w:t>
      </w:r>
    </w:p>
    <w:p>
      <w:r>
        <w:t>Reentregas e duplicatas em filas causavam dados duplicados.</w:t>
      </w:r>
    </w:p>
    <w:p>
      <w:pPr>
        <w:pStyle w:val="Heading1"/>
      </w:pPr>
      <w:r>
        <w:rPr>
          <w:color w:val="8B4513"/>
        </w:rPr>
        <w:t>2. Diagnóstico</w:t>
      </w:r>
    </w:p>
    <w:p>
      <w:pPr>
        <w:pStyle w:val="ListBullet"/>
      </w:pPr>
      <w:r>
        <w:t>Mesma mensagem processada múltiplas vezes</w:t>
      </w:r>
    </w:p>
    <w:p>
      <w:pPr>
        <w:pStyle w:val="ListBullet"/>
      </w:pPr>
      <w:r>
        <w:t>Sem chave de deduplicação</w:t>
      </w:r>
    </w:p>
    <w:p>
      <w:pPr>
        <w:pStyle w:val="ListBullet"/>
      </w:pPr>
      <w:r>
        <w:t>Upsert ausente no destino</w:t>
      </w:r>
    </w:p>
    <w:p>
      <w:pPr>
        <w:pStyle w:val="Heading1"/>
      </w:pPr>
      <w:r>
        <w:rPr>
          <w:color w:val="8B4513"/>
        </w:rPr>
        <w:t>3. Arquitetura da Solução</w:t>
      </w:r>
    </w:p>
    <w:p>
      <w:pPr>
        <w:pStyle w:val="ListBullet"/>
      </w:pPr>
      <w:r>
        <w:t>Chave event_id única no cabeçalho</w:t>
      </w:r>
    </w:p>
    <w:p>
      <w:pPr>
        <w:pStyle w:val="ListBullet"/>
      </w:pPr>
      <w:r>
        <w:t>Tabela processed_events com PK (INSERT rejeita duplicata)</w:t>
      </w:r>
    </w:p>
    <w:p>
      <w:pPr>
        <w:pStyle w:val="ListBullet"/>
      </w:pPr>
      <w:r>
        <w:t>Upsert (ON CONFLICT DO NOTHING) no dado de negócio</w:t>
      </w:r>
    </w:p>
    <w:p>
      <w:pPr>
        <w:pStyle w:val="ListBullet"/>
      </w:pPr>
      <w:r>
        <w:t>Descarte silencioso de evento já processado</w:t>
      </w:r>
    </w:p>
    <w:p>
      <w:pPr>
        <w:pStyle w:val="Heading1"/>
      </w:pPr>
      <w:r>
        <w:rPr>
          <w:color w:val="8B4513"/>
        </w:rPr>
        <w:t>4. Entregas</w:t>
      </w:r>
    </w:p>
    <w:p>
      <w:pPr>
        <w:pStyle w:val="ListBullet"/>
      </w:pPr>
      <w:r>
        <w:t>IDEMPOTENCY.md (padrão)</w:t>
      </w:r>
    </w:p>
    <w:p>
      <w:pPr>
        <w:pStyle w:val="ListBullet"/>
      </w:pPr>
      <w:r>
        <w:t>consumer.py (consumidor idempotente)</w:t>
      </w:r>
    </w:p>
    <w:p>
      <w:pPr>
        <w:pStyle w:val="ListBullet"/>
      </w:pPr>
      <w:r>
        <w:t>processed_events.sql (schema)</w:t>
      </w:r>
    </w:p>
    <w:p>
      <w:pPr>
        <w:pStyle w:val="Heading1"/>
      </w:pPr>
      <w:r>
        <w:rPr>
          <w:color w:val="8B4513"/>
        </w:rPr>
        <w:t>5. Métricas de Sucesso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Métrica</w:t>
            </w:r>
          </w:p>
        </w:tc>
        <w:tc>
          <w:tcPr>
            <w:tcW w:type="dxa" w:w="2946"/>
          </w:tcPr>
          <w:p>
            <w:r>
              <w:t>Antes</w:t>
            </w:r>
          </w:p>
        </w:tc>
        <w:tc>
          <w:tcPr>
            <w:tcW w:type="dxa" w:w="2946"/>
          </w:tcPr>
          <w:p>
            <w:r>
              <w:t>Depois</w:t>
            </w:r>
          </w:p>
        </w:tc>
      </w:tr>
      <w:tr>
        <w:tc>
          <w:tcPr>
            <w:tcW w:type="dxa" w:w="2946"/>
          </w:tcPr>
          <w:p>
            <w:r>
              <w:t>Duplicidade de dados</w:t>
            </w:r>
          </w:p>
        </w:tc>
        <w:tc>
          <w:tcPr>
            <w:tcW w:type="dxa" w:w="2946"/>
          </w:tcPr>
          <w:p>
            <w:r>
              <w:t>Sim</w:t>
            </w:r>
          </w:p>
        </w:tc>
        <w:tc>
          <w:tcPr>
            <w:tcW w:type="dxa" w:w="2946"/>
          </w:tcPr>
          <w:p>
            <w:r>
              <w:t>Eliminada</w:t>
            </w:r>
          </w:p>
        </w:tc>
      </w:tr>
      <w:tr>
        <w:tc>
          <w:tcPr>
            <w:tcW w:type="dxa" w:w="2946"/>
          </w:tcPr>
          <w:p>
            <w:r>
              <w:t>Deduplicação</w:t>
            </w:r>
          </w:p>
        </w:tc>
        <w:tc>
          <w:tcPr>
            <w:tcW w:type="dxa" w:w="2946"/>
          </w:tcPr>
          <w:p>
            <w:r>
              <w:t>Não</w:t>
            </w:r>
          </w:p>
        </w:tc>
        <w:tc>
          <w:tcPr>
            <w:tcW w:type="dxa" w:w="2946"/>
          </w:tcPr>
          <w:p>
            <w:r>
              <w:t>Sim</w:t>
            </w:r>
          </w:p>
        </w:tc>
      </w:tr>
    </w:tbl>
    <w:p>
      <w:pPr>
        <w:pStyle w:val="Heading1"/>
      </w:pPr>
      <w:r>
        <w:rPr>
          <w:color w:val="8B4513"/>
        </w:rPr>
        <w:t>6. Próximos Passos</w:t>
      </w:r>
    </w:p>
    <w:p>
      <w:pPr>
        <w:pStyle w:val="ListBullet"/>
      </w:pPr>
      <w:r>
        <w:t>Conectar o consumidor a um tópico real</w:t>
      </w:r>
    </w:p>
    <w:p>
      <w:pPr>
        <w:pStyle w:val="ListBullet"/>
      </w:pPr>
      <w:r>
        <w:t>Testar reentrega em massa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