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8"/>
        </w:rPr>
        <w:t>Conformidade LGPD no Tráfego Distribuído (criptografia em trânsito e repouso)</w:t>
      </w:r>
    </w:p>
    <w:p>
      <w:pPr>
        <w:jc w:val="center"/>
      </w:pPr>
      <w:r>
        <w:rPr>
          <w:color w:val="6B7A8A"/>
          <w:sz w:val="24"/>
        </w:rPr>
        <w:t>Relatório Técnico</w:t>
      </w:r>
    </w:p>
    <w:p>
      <w:pPr>
        <w:jc w:val="center"/>
      </w:pPr>
      <w:r>
        <w:rPr>
          <w:color w:val="495560"/>
          <w:sz w:val="22"/>
        </w:rPr>
        <w:t>Autor: Marcos Perettoco</w:t>
        <w:br/>
      </w:r>
      <w:r>
        <w:rPr>
          <w:color w:val="495560"/>
          <w:sz w:val="22"/>
        </w:rPr>
        <w:t>Unidade: V4 Company / FV Marketing</w:t>
        <w:br/>
      </w:r>
      <w:r>
        <w:rPr>
          <w:color w:val="495560"/>
          <w:sz w:val="22"/>
        </w:rPr>
        <w:t>Data: 25/08/2026</w:t>
        <w:br/>
      </w:r>
      <w:r>
        <w:rPr>
          <w:color w:val="495560"/>
          <w:sz w:val="22"/>
        </w:rPr>
        <w:t>Área: Sistemas Distribuídos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1"/>
      </w:pPr>
      <w:r>
        <w:rPr>
          <w:color w:val="8B4513"/>
        </w:rPr>
        <w:t>1. Contexto e Problema</w:t>
      </w:r>
    </w:p>
    <w:p>
      <w:r>
        <w:t>Dados pessoais trafegam entre serviços sem controle de conformidade.</w:t>
      </w:r>
    </w:p>
    <w:p>
      <w:pPr>
        <w:pStyle w:val="Heading1"/>
      </w:pPr>
      <w:r>
        <w:rPr>
          <w:color w:val="8B4513"/>
        </w:rPr>
        <w:t>2. Diagnóstico</w:t>
      </w:r>
    </w:p>
    <w:p>
      <w:pPr>
        <w:pStyle w:val="ListBullet"/>
      </w:pPr>
      <w:r>
        <w:t>Sem criptografia em trânsito entre serviços</w:t>
      </w:r>
    </w:p>
    <w:p>
      <w:pPr>
        <w:pStyle w:val="ListBullet"/>
      </w:pPr>
      <w:r>
        <w:t>PII em claro no banco</w:t>
      </w:r>
    </w:p>
    <w:p>
      <w:pPr>
        <w:pStyle w:val="ListBullet"/>
      </w:pPr>
      <w:r>
        <w:t>Sem trilha de consentimento</w:t>
      </w:r>
    </w:p>
    <w:p>
      <w:pPr>
        <w:pStyle w:val="Heading1"/>
      </w:pPr>
      <w:r>
        <w:rPr>
          <w:color w:val="8B4513"/>
        </w:rPr>
        <w:t>3. Arquitetura da Solução</w:t>
      </w:r>
    </w:p>
    <w:p>
      <w:pPr>
        <w:pStyle w:val="ListBullet"/>
      </w:pPr>
      <w:r>
        <w:t>TLS 1.2+ e mTLS entre serviços internos</w:t>
      </w:r>
    </w:p>
    <w:p>
      <w:pPr>
        <w:pStyle w:val="ListBullet"/>
      </w:pPr>
      <w:r>
        <w:t>AES-256 em colunas PII no banco</w:t>
      </w:r>
    </w:p>
    <w:p>
      <w:pPr>
        <w:pStyle w:val="ListBullet"/>
      </w:pPr>
      <w:r>
        <w:t>Consent_id no cabeçalho das mensagens</w:t>
      </w:r>
    </w:p>
    <w:p>
      <w:pPr>
        <w:pStyle w:val="ListBullet"/>
      </w:pPr>
      <w:r>
        <w:t>Log imutável de acesso a PII</w:t>
      </w:r>
    </w:p>
    <w:p>
      <w:pPr>
        <w:pStyle w:val="Heading1"/>
      </w:pPr>
      <w:r>
        <w:rPr>
          <w:color w:val="8B4513"/>
        </w:rPr>
        <w:t>4. Entregas</w:t>
      </w:r>
    </w:p>
    <w:p>
      <w:pPr>
        <w:pStyle w:val="ListBullet"/>
      </w:pPr>
      <w:r>
        <w:t>LGPD-COMPLIANCE.md (framework + checklist)</w:t>
      </w:r>
    </w:p>
    <w:p>
      <w:pPr>
        <w:pStyle w:val="ListBullet"/>
      </w:pPr>
      <w:r>
        <w:t>encrypt_pii.py (criptografia)</w:t>
      </w:r>
    </w:p>
    <w:p>
      <w:pPr>
        <w:pStyle w:val="Heading1"/>
      </w:pPr>
      <w:r>
        <w:rPr>
          <w:color w:val="8B4513"/>
        </w:rPr>
        <w:t>5. Métricas de Sucesso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Métrica</w:t>
            </w:r>
          </w:p>
        </w:tc>
        <w:tc>
          <w:tcPr>
            <w:tcW w:type="dxa" w:w="2946"/>
          </w:tcPr>
          <w:p>
            <w:r>
              <w:t>Antes</w:t>
            </w:r>
          </w:p>
        </w:tc>
        <w:tc>
          <w:tcPr>
            <w:tcW w:type="dxa" w:w="2946"/>
          </w:tcPr>
          <w:p>
            <w:r>
              <w:t>Depois</w:t>
            </w:r>
          </w:p>
        </w:tc>
      </w:tr>
      <w:tr>
        <w:tc>
          <w:tcPr>
            <w:tcW w:type="dxa" w:w="2946"/>
          </w:tcPr>
          <w:p>
            <w:r>
              <w:t>Trânsito criptografado</w:t>
            </w:r>
          </w:p>
        </w:tc>
        <w:tc>
          <w:tcPr>
            <w:tcW w:type="dxa" w:w="2946"/>
          </w:tcPr>
          <w:p>
            <w:r>
              <w:t>Não</w:t>
            </w:r>
          </w:p>
        </w:tc>
        <w:tc>
          <w:tcPr>
            <w:tcW w:type="dxa" w:w="2946"/>
          </w:tcPr>
          <w:p>
            <w:r>
              <w:t>TLS/mTLS</w:t>
            </w:r>
          </w:p>
        </w:tc>
      </w:tr>
      <w:tr>
        <w:tc>
          <w:tcPr>
            <w:tcW w:type="dxa" w:w="2946"/>
          </w:tcPr>
          <w:p>
            <w:r>
              <w:t>Repouso (PII)</w:t>
            </w:r>
          </w:p>
        </w:tc>
        <w:tc>
          <w:tcPr>
            <w:tcW w:type="dxa" w:w="2946"/>
          </w:tcPr>
          <w:p>
            <w:r>
              <w:t>Claro</w:t>
            </w:r>
          </w:p>
        </w:tc>
        <w:tc>
          <w:tcPr>
            <w:tcW w:type="dxa" w:w="2946"/>
          </w:tcPr>
          <w:p>
            <w:r>
              <w:t>AES-256</w:t>
            </w:r>
          </w:p>
        </w:tc>
      </w:tr>
    </w:tbl>
    <w:p>
      <w:pPr>
        <w:pStyle w:val="Heading1"/>
      </w:pPr>
      <w:r>
        <w:rPr>
          <w:color w:val="8B4513"/>
        </w:rPr>
        <w:t>6. Próximos Passos</w:t>
      </w:r>
    </w:p>
    <w:p>
      <w:pPr>
        <w:pStyle w:val="ListBullet"/>
      </w:pPr>
      <w:r>
        <w:t>Aplicar mTLS no barramento (Módulo 05-A1)</w:t>
      </w:r>
    </w:p>
    <w:p>
      <w:pPr>
        <w:pStyle w:val="ListBullet"/>
      </w:pPr>
      <w:r>
        <w:t>Mascarar PII em logs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