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Refatoracao de Modulo Legado com SOLID e Clean Architecture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Software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Refatoracao do modulo de orquestracao de campanhas (antigo CampaignService, 600+ linhas, acoplado) para Clean Architecture com ports/adapters e os 5 principios SOLID. Entrego o antes/depois, o ADR e um teste que prova a nova testabilidade.</w:t>
      </w:r>
    </w:p>
    <w:p>
      <w:r>
        <w:t>O ponto nao e 'estilo': e eliminar classes de risco (SQL injection, transacoes ausentes, falha silenciosa de CRM) e tornar o modulo coberto por teste sem subir infra.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O modulo dispara 3-5 campanhas/dia para listas de 5k-80k leads.</w:t>
      </w:r>
    </w:p>
    <w:p>
      <w:pPr>
        <w:pStyle w:val="ListBullet"/>
      </w:pPr>
      <w:r>
        <w:t>Falha silenciosa de gravacao no CRM ja causou duplo contato (reclamacao real).</w:t>
      </w:r>
    </w:p>
    <w:p>
      <w:pPr>
        <w:pStyle w:val="ListBullet"/>
      </w:pPr>
      <w:r>
        <w:t>Qualquer alteracao hoje exige deploy manual e testes manuais.</w:t>
      </w:r>
    </w:p>
    <w:p>
      <w:pPr>
        <w:pStyle w:val="Heading2"/>
      </w:pPr>
      <w:r>
        <w:rPr>
          <w:color w:val="8B1E1E"/>
        </w:rPr>
        <w:t>O Problema e o Blast Radius</w:t>
      </w:r>
    </w:p>
    <w:p>
      <w:r>
        <w:t>O CampaignService original misturava regra de negocio, acesso direto a banco, envio de e-mail e chamada de CRM no mesmo metodo.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Violacao</w:t>
            </w:r>
          </w:p>
        </w:tc>
        <w:tc>
          <w:tcPr>
            <w:tcW w:type="dxa" w:w="4419"/>
          </w:tcPr>
          <w:p>
            <w:r>
              <w:t>Manifestacao</w:t>
            </w:r>
          </w:p>
        </w:tc>
      </w:tr>
      <w:tr>
        <w:tc>
          <w:tcPr>
            <w:tcW w:type="dxa" w:w="4419"/>
          </w:tcPr>
          <w:p>
            <w:r>
              <w:t>SRP</w:t>
            </w:r>
          </w:p>
        </w:tc>
        <w:tc>
          <w:tcPr>
            <w:tcW w:type="dxa" w:w="4419"/>
          </w:tcPr>
          <w:p>
            <w:r>
              <w:t>1 classe cuida de regra+DB+email+CRM</w:t>
            </w:r>
          </w:p>
        </w:tc>
      </w:tr>
      <w:tr>
        <w:tc>
          <w:tcPr>
            <w:tcW w:type="dxa" w:w="4419"/>
          </w:tcPr>
          <w:p>
            <w:r>
              <w:t>OCP</w:t>
            </w:r>
          </w:p>
        </w:tc>
        <w:tc>
          <w:tcPr>
            <w:tcW w:type="dxa" w:w="4419"/>
          </w:tcPr>
          <w:p>
            <w:r>
              <w:t>novo canal = editar metodo central</w:t>
            </w:r>
          </w:p>
        </w:tc>
      </w:tr>
      <w:tr>
        <w:tc>
          <w:tcPr>
            <w:tcW w:type="dxa" w:w="4419"/>
          </w:tcPr>
          <w:p>
            <w:r>
              <w:t>DIP</w:t>
            </w:r>
          </w:p>
        </w:tc>
        <w:tc>
          <w:tcPr>
            <w:tcW w:type="dxa" w:w="4419"/>
          </w:tcPr>
          <w:p>
            <w:r>
              <w:t>aplicacao depende de psycopg2/smtp direto</w:t>
            </w:r>
          </w:p>
        </w:tc>
      </w:tr>
      <w:tr>
        <w:tc>
          <w:tcPr>
            <w:tcW w:type="dxa" w:w="4419"/>
          </w:tcPr>
          <w:p>
            <w:r>
              <w:t>Sem transacao</w:t>
            </w:r>
          </w:p>
        </w:tc>
        <w:tc>
          <w:tcPr>
            <w:tcW w:type="dxa" w:w="4419"/>
          </w:tcPr>
          <w:p>
            <w:r>
              <w:t>estado parcial em falha</w:t>
            </w:r>
          </w:p>
        </w:tc>
      </w:tr>
    </w:tbl>
    <w:p>
      <w:pPr>
        <w:pStyle w:val="Heading2"/>
      </w:pPr>
      <w:r>
        <w:rPr>
          <w:color w:val="8B1E1E"/>
        </w:rPr>
        <w:t>Diagnostico e Causa Raiz</w:t>
      </w:r>
    </w:p>
    <w:p>
      <w:pPr>
        <w:pStyle w:val="ListBullet"/>
      </w:pPr>
      <w:r>
        <w:t>SQL concatenado (f"SELECT ... {camp.id}") — vetor de injection.</w:t>
      </w:r>
    </w:p>
    <w:p>
      <w:pPr>
        <w:pStyle w:val="ListBullet"/>
      </w:pPr>
      <w:r>
        <w:t>Sem transacao: lead marcado enviado mas e-mail falha -&gt; estado inconsistente.</w:t>
      </w:r>
    </w:p>
    <w:p>
      <w:pPr>
        <w:pStyle w:val="ListBullet"/>
      </w:pPr>
      <w:r>
        <w:t>Impossivel testar: 600 linhas, 4 dependencias de I/O acopladas, 0% cobertura.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ADR-021 — Camadas e Ports/Adapters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Clean Architecture</w:t>
            </w:r>
          </w:p>
        </w:tc>
        <w:tc>
          <w:tcPr>
            <w:tcW w:type="dxa" w:w="2209"/>
          </w:tcPr>
          <w:p>
            <w:r>
              <w:t>testavel, desacoplado</w:t>
            </w:r>
          </w:p>
        </w:tc>
        <w:tc>
          <w:tcPr>
            <w:tcW w:type="dxa" w:w="2209"/>
          </w:tcPr>
          <w:p>
            <w:r>
              <w:t>mais arquivos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Hexagonal puro</w:t>
            </w:r>
          </w:p>
        </w:tc>
        <w:tc>
          <w:tcPr>
            <w:tcW w:type="dxa" w:w="2209"/>
          </w:tcPr>
          <w:p>
            <w:r>
              <w:t>simetrico</w:t>
            </w:r>
          </w:p>
        </w:tc>
        <w:tc>
          <w:tcPr>
            <w:tcW w:type="dxa" w:w="2209"/>
          </w:tcPr>
          <w:p>
            <w:r>
              <w:t>overhead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  <w:tr>
        <w:tc>
          <w:tcPr>
            <w:tcW w:type="dxa" w:w="2209"/>
          </w:tcPr>
          <w:p>
            <w:r>
              <w:t>Manter acoplado + E2E</w:t>
            </w:r>
          </w:p>
        </w:tc>
        <w:tc>
          <w:tcPr>
            <w:tcW w:type="dxa" w:w="2209"/>
          </w:tcPr>
          <w:p>
            <w:r>
              <w:t>zero refactor</w:t>
            </w:r>
          </w:p>
        </w:tc>
        <w:tc>
          <w:tcPr>
            <w:tcW w:type="dxa" w:w="2209"/>
          </w:tcPr>
          <w:p>
            <w:r>
              <w:t>fragil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Dependencia de I/O vira interface (Protocol): LeadRepository, Notifier, Logger. O servico depende de abstracoes; implementacoes sao injetadas no bootstrap.</w:t>
      </w:r>
    </w:p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SOLID-BEFORE-AFTER.md — mapeamento violacao-&gt;solucao.</w:t>
      </w:r>
    </w:p>
    <w:p>
      <w:pPr>
        <w:pStyle w:val="ListBullet"/>
      </w:pPr>
      <w:r>
        <w:t>before_campaign_service.py — modulo legado.</w:t>
      </w:r>
    </w:p>
    <w:p>
      <w:pPr>
        <w:pStyle w:val="ListBullet"/>
      </w:pPr>
      <w:r>
        <w:t>after_campaign_service.py — Clean Architecture + 1 teste.</w:t>
      </w:r>
    </w:p>
    <w:p>
      <w:pPr>
        <w:pStyle w:val="Heading2"/>
      </w:pPr>
      <w:r>
        <w:rPr>
          <w:color w:val="8B1E1E"/>
        </w:rPr>
        <w:t>Plano de Validacao e Rollout</w:t>
      </w:r>
    </w:p>
    <w:p>
      <w:pPr>
        <w:pStyle w:val="ListNumber"/>
      </w:pPr>
      <w:r>
        <w:t>Cobrir o servico com testes de porta (mock de Notifier/Repository) — alvo 85%.</w:t>
      </w:r>
    </w:p>
    <w:p>
      <w:pPr>
        <w:pStyle w:val="ListNumber"/>
      </w:pPr>
      <w:r>
        <w:t>Feature flag: novo modulo em paralelo por 1 sprint (shadow).</w:t>
      </w:r>
    </w:p>
    <w:p>
      <w:pPr>
        <w:pStyle w:val="ListNumber"/>
      </w:pPr>
      <w:r>
        <w:t>Se divergencia &lt; 0,1%, migrar trafego e remover legado.</w:t>
      </w:r>
    </w:p>
    <w:p>
      <w:pPr>
        <w:pStyle w:val="ListNumber"/>
      </w:pPr>
      <w:r>
        <w:t>Rollback: flag desliga o novo sem deploy.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Depois</w:t>
            </w:r>
          </w:p>
        </w:tc>
      </w:tr>
      <w:tr>
        <w:tc>
          <w:tcPr>
            <w:tcW w:type="dxa" w:w="2946"/>
          </w:tcPr>
          <w:p>
            <w:r>
              <w:t>Acoplamento (resp/classe)</w:t>
            </w:r>
          </w:p>
        </w:tc>
        <w:tc>
          <w:tcPr>
            <w:tcW w:type="dxa" w:w="2946"/>
          </w:tcPr>
          <w:p>
            <w:r>
              <w:t>4</w:t>
            </w:r>
          </w:p>
        </w:tc>
        <w:tc>
          <w:tcPr>
            <w:tcW w:type="dxa" w:w="2946"/>
          </w:tcPr>
          <w:p>
            <w:r>
              <w:t>1</w:t>
            </w:r>
          </w:p>
        </w:tc>
      </w:tr>
      <w:tr>
        <w:tc>
          <w:tcPr>
            <w:tcW w:type="dxa" w:w="2946"/>
          </w:tcPr>
          <w:p>
            <w:r>
              <w:t>Cobertura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&gt;= 85%</w:t>
            </w:r>
          </w:p>
        </w:tc>
      </w:tr>
      <w:tr>
        <w:tc>
          <w:tcPr>
            <w:tcW w:type="dxa" w:w="2946"/>
          </w:tcPr>
          <w:p>
            <w:r>
              <w:t>Linhas por classe</w:t>
            </w:r>
          </w:p>
        </w:tc>
        <w:tc>
          <w:tcPr>
            <w:tcW w:type="dxa" w:w="2946"/>
          </w:tcPr>
          <w:p>
            <w:r>
              <w:t>600+</w:t>
            </w:r>
          </w:p>
        </w:tc>
        <w:tc>
          <w:tcPr>
            <w:tcW w:type="dxa" w:w="2946"/>
          </w:tcPr>
          <w:p>
            <w:r>
              <w:t>&lt; 45</w:t>
            </w:r>
          </w:p>
        </w:tc>
      </w:tr>
      <w:tr>
        <w:tc>
          <w:tcPr>
            <w:tcW w:type="dxa" w:w="2946"/>
          </w:tcPr>
          <w:p>
            <w:r>
              <w:t>SQL injection</w:t>
            </w:r>
          </w:p>
        </w:tc>
        <w:tc>
          <w:tcPr>
            <w:tcW w:type="dxa" w:w="2946"/>
          </w:tcPr>
          <w:p>
            <w:r>
              <w:t>sim</w:t>
            </w:r>
          </w:p>
        </w:tc>
        <w:tc>
          <w:tcPr>
            <w:tcW w:type="dxa" w:w="2946"/>
          </w:tcPr>
          <w:p>
            <w:r>
              <w:t>eliminado</w:t>
            </w:r>
          </w:p>
        </w:tc>
      </w:tr>
    </w:tbl>
    <w:p>
      <w:pPr>
        <w:pStyle w:val="Heading2"/>
      </w:pPr>
      <w:r>
        <w:rPr>
          <w:color w:val="8B1E1E"/>
        </w:rPr>
        <w:t>Riscos e Mitigacoes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Shadow com divergencia</w:t>
            </w:r>
          </w:p>
        </w:tc>
        <w:tc>
          <w:tcPr>
            <w:tcW w:type="dxa" w:w="4419"/>
          </w:tcPr>
          <w:p>
            <w:r>
              <w:t>reconciliacao diaria</w:t>
            </w:r>
          </w:p>
        </w:tc>
      </w:tr>
      <w:tr>
        <w:tc>
          <w:tcPr>
            <w:tcW w:type="dxa" w:w="4419"/>
          </w:tcPr>
          <w:p>
            <w:r>
              <w:t>Time nao adota</w:t>
            </w:r>
          </w:p>
        </w:tc>
        <w:tc>
          <w:tcPr>
            <w:tcW w:type="dxa" w:w="4419"/>
          </w:tcPr>
          <w:p>
            <w:r>
              <w:t>PR template + lint de arquitetura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Aplicar o molde aos demais modulos legados.</w:t>
      </w:r>
    </w:p>
    <w:p>
      <w:pPr>
        <w:pStyle w:val="ListBullet"/>
      </w:pPr>
      <w:r>
        <w:t>Mutation testing (mutmut) no servico.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