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B4513"/>
          <w:sz w:val="28"/>
        </w:rPr>
        <w:t>PDI</w:t>
      </w:r>
    </w:p>
    <w:p>
      <w:pPr>
        <w:jc w:val="center"/>
      </w:pPr>
      <w:r>
        <w:rPr>
          <w:b/>
          <w:sz w:val="46"/>
        </w:rPr>
        <w:t>Fundamentos de IA Generativa (NVIDIA DLI) aplicados a RAG</w:t>
      </w:r>
    </w:p>
    <w:p>
      <w:pPr>
        <w:jc w:val="center"/>
      </w:pPr>
      <w:r>
        <w:rPr>
          <w:color w:val="6B7A8A"/>
          <w:sz w:val="24"/>
        </w:rPr>
        <w:t>Dossie Tecnico (Nivel Senior)</w:t>
      </w:r>
    </w:p>
    <w:p>
      <w:pPr>
        <w:jc w:val="center"/>
      </w:pPr>
      <w:r>
        <w:rPr>
          <w:color w:val="495560"/>
          <w:sz w:val="22"/>
        </w:rPr>
        <w:t>Autor: Marcos L. R. V. (Coordenador de Engenharia)</w:t>
        <w:br/>
      </w:r>
      <w:r>
        <w:rPr>
          <w:color w:val="495560"/>
          <w:sz w:val="22"/>
        </w:rPr>
        <w:t>Unidade: V4 Company / Squad de Engenharia de IA</w:t>
        <w:br/>
      </w:r>
      <w:r>
        <w:rPr>
          <w:color w:val="495560"/>
          <w:sz w:val="22"/>
        </w:rPr>
        <w:t>Data: 2026-08-27</w:t>
        <w:br/>
      </w:r>
      <w:r>
        <w:rPr>
          <w:color w:val="495560"/>
          <w:sz w:val="22"/>
        </w:rPr>
        <w:t>Area: Engenharia de IA</w:t>
        <w:br/>
      </w:r>
      <w:r>
        <w:rPr>
          <w:color w:val="495560"/>
          <w:sz w:val="22"/>
        </w:rPr>
        <w:t>Status: Entregue (desenvolvido)</w:t>
        <w:br/>
      </w:r>
    </w:p>
    <w:p>
      <w:r>
        <w:br w:type="page"/>
      </w:r>
    </w:p>
    <w:p>
      <w:pPr>
        <w:pStyle w:val="Heading2"/>
      </w:pPr>
      <w:r>
        <w:rPr>
          <w:color w:val="8B1E1E"/>
        </w:rPr>
        <w:t>Resumo Executivo</w:t>
      </w:r>
    </w:p>
    <w:p>
      <w:r>
        <w:t>Conclusao do curso NVIDIA DLI 'Building RAG Agents with LLMs' com transposicao pratica. Entrego notas e um notebook funcional de RAG end-to-end.</w:t>
      </w:r>
    </w:p>
    <w:p>
      <w:r>
        <w:t>A base sustenta as proximas atividades (RAG hibrido, multi-agente, custos).</w:t>
      </w:r>
    </w:p>
    <w:p>
      <w:pPr>
        <w:pStyle w:val="Heading2"/>
      </w:pPr>
      <w:r>
        <w:rPr>
          <w:color w:val="8B1E1E"/>
        </w:rPr>
        <w:t>Contexto de Producao</w:t>
      </w:r>
    </w:p>
    <w:p>
      <w:pPr>
        <w:pStyle w:val="ListBullet"/>
      </w:pPr>
      <w:r>
        <w:t>Time comenta 'RAG' mas sem padrao de chunking.</w:t>
      </w:r>
    </w:p>
    <w:p>
      <w:pPr>
        <w:pStyle w:val="ListBullet"/>
      </w:pPr>
      <w:r>
        <w:t>Similaridade pura trazia contexto irrelevante.</w:t>
      </w:r>
    </w:p>
    <w:p>
      <w:pPr>
        <w:pStyle w:val="ListBullet"/>
      </w:pPr>
      <w:r>
        <w:t>Sem metrica de qualidade.</w:t>
      </w:r>
    </w:p>
    <w:p>
      <w:pPr>
        <w:pStyle w:val="Heading2"/>
      </w:pPr>
      <w:r>
        <w:rPr>
          <w:color w:val="8B1E1E"/>
        </w:rPr>
        <w:t>Diagnostico</w:t>
      </w:r>
    </w:p>
    <w:p>
      <w:pPr>
        <w:pStyle w:val="ListBullet"/>
      </w:pPr>
      <w:r>
        <w:t>Chunk grande -&gt; ruido; pequeno -&gt; perde contexto.</w:t>
      </w:r>
    </w:p>
    <w:p>
      <w:pPr>
        <w:pStyle w:val="ListBullet"/>
      </w:pPr>
      <w:r>
        <w:t>Embedding sem normalizacao.</w:t>
      </w:r>
    </w:p>
    <w:p>
      <w:pPr>
        <w:pStyle w:val="ListBullet"/>
      </w:pPr>
      <w:r>
        <w:t>Sem rerank -&gt; top-k ruido.</w:t>
      </w:r>
    </w:p>
    <w:p>
      <w:pPr>
        <w:pStyle w:val="Heading2"/>
      </w:pPr>
      <w:r>
        <w:rPr>
          <w:color w:val="8B1E1E"/>
        </w:rPr>
        <w:t>Decisao Arquitetural (ADR)</w:t>
      </w:r>
    </w:p>
    <w:p>
      <w:r>
        <w:t>ADR-041 — Baseline RAG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</w:tcPr>
          <w:p>
            <w:r>
              <w:t>Opcao</w:t>
            </w:r>
          </w:p>
        </w:tc>
        <w:tc>
          <w:tcPr>
            <w:tcW w:type="dxa" w:w="2209"/>
          </w:tcPr>
          <w:p>
            <w:r>
              <w:t>Pro</w:t>
            </w:r>
          </w:p>
        </w:tc>
        <w:tc>
          <w:tcPr>
            <w:tcW w:type="dxa" w:w="2209"/>
          </w:tcPr>
          <w:p>
            <w:r>
              <w:t>Contra</w:t>
            </w:r>
          </w:p>
        </w:tc>
        <w:tc>
          <w:tcPr>
            <w:tcW w:type="dxa" w:w="2209"/>
          </w:tcPr>
          <w:p>
            <w:r>
              <w:t>Decisao</w:t>
            </w:r>
          </w:p>
        </w:tc>
      </w:tr>
      <w:tr>
        <w:tc>
          <w:tcPr>
            <w:tcW w:type="dxa" w:w="2209"/>
          </w:tcPr>
          <w:p>
            <w:r>
              <w:t>Chunk 512 + overlap 64 + rerank</w:t>
            </w:r>
          </w:p>
        </w:tc>
        <w:tc>
          <w:tcPr>
            <w:tcW w:type="dxa" w:w="2209"/>
          </w:tcPr>
          <w:p>
            <w:r>
              <w:t>coeso</w:t>
            </w:r>
          </w:p>
        </w:tc>
        <w:tc>
          <w:tcPr>
            <w:tcW w:type="dxa" w:w="2209"/>
          </w:tcPr>
          <w:p>
            <w:r>
              <w:t>mais tokens</w:t>
            </w:r>
          </w:p>
        </w:tc>
        <w:tc>
          <w:tcPr>
            <w:tcW w:type="dxa" w:w="2209"/>
          </w:tcPr>
          <w:p>
            <w:r>
              <w:t>ESCOLHIDA</w:t>
            </w:r>
          </w:p>
        </w:tc>
      </w:tr>
    </w:tbl>
    <w:p>
      <w:r>
        <w:rPr>
          <w:b/>
        </w:rPr>
        <w:t xml:space="preserve">Nota: </w:t>
      </w:r>
      <w:r>
        <w:t>Normalizar embeddings; top-k=20 + rerank para top-5.</w:t>
      </w:r>
    </w:p>
    <w:p>
      <w:pPr>
        <w:pStyle w:val="Heading2"/>
      </w:pPr>
      <w:r>
        <w:rPr>
          <w:color w:val="8B1E1E"/>
        </w:rPr>
        <w:t>Entregas</w:t>
      </w:r>
    </w:p>
    <w:p>
      <w:pPr>
        <w:pStyle w:val="ListBullet"/>
      </w:pPr>
      <w:r>
        <w:t>DLI-NOTES.md.</w:t>
      </w:r>
    </w:p>
    <w:p>
      <w:pPr>
        <w:pStyle w:val="ListBullet"/>
      </w:pPr>
      <w:r>
        <w:t>rag_baseline.py.</w:t>
      </w:r>
    </w:p>
    <w:p>
      <w:pPr>
        <w:pStyle w:val="ListBullet"/>
      </w:pPr>
      <w:r>
        <w:t>CONCLUSAO.md.</w:t>
      </w:r>
    </w:p>
    <w:p>
      <w:pPr>
        <w:pStyle w:val="Heading2"/>
      </w:pPr>
      <w:r>
        <w:rPr>
          <w:color w:val="8B1E1E"/>
        </w:rPr>
        <w:t>Validacao</w:t>
      </w:r>
    </w:p>
    <w:p>
      <w:pPr>
        <w:pStyle w:val="ListNumber"/>
      </w:pPr>
      <w:r>
        <w:t>Rodar rag_baseline.py.</w:t>
      </w:r>
    </w:p>
    <w:p>
      <w:pPr>
        <w:pStyle w:val="ListNumber"/>
      </w:pPr>
      <w:r>
        <w:t>Medir faithfulness em 10 perguntas.</w:t>
      </w:r>
    </w:p>
    <w:p>
      <w:pPr>
        <w:pStyle w:val="ListNumber"/>
      </w:pPr>
      <w:r>
        <w:t>Comparar com similaridade pura.</w:t>
      </w:r>
    </w:p>
    <w:p>
      <w:pPr>
        <w:pStyle w:val="Heading2"/>
      </w:pPr>
      <w:r>
        <w:rPr>
          <w:color w:val="8B1E1E"/>
        </w:rPr>
        <w:t>Metricas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SLO</w:t>
            </w:r>
          </w:p>
        </w:tc>
        <w:tc>
          <w:tcPr>
            <w:tcW w:type="dxa" w:w="4419"/>
          </w:tcPr>
          <w:p>
            <w:r>
              <w:t>Alvo</w:t>
            </w:r>
          </w:p>
        </w:tc>
      </w:tr>
      <w:tr>
        <w:tc>
          <w:tcPr>
            <w:tcW w:type="dxa" w:w="4419"/>
          </w:tcPr>
          <w:p>
            <w:r>
              <w:t>Faithfulness</w:t>
            </w:r>
          </w:p>
        </w:tc>
        <w:tc>
          <w:tcPr>
            <w:tcW w:type="dxa" w:w="4419"/>
          </w:tcPr>
          <w:p>
            <w:r>
              <w:t>&gt;= 0.8</w:t>
            </w:r>
          </w:p>
        </w:tc>
      </w:tr>
      <w:tr>
        <w:tc>
          <w:tcPr>
            <w:tcW w:type="dxa" w:w="4419"/>
          </w:tcPr>
          <w:p>
            <w:r>
              <w:t>Chunk</w:t>
            </w:r>
          </w:p>
        </w:tc>
        <w:tc>
          <w:tcPr>
            <w:tcW w:type="dxa" w:w="4419"/>
          </w:tcPr>
          <w:p>
            <w:r>
              <w:t>512/64</w:t>
            </w:r>
          </w:p>
        </w:tc>
      </w:tr>
    </w:tbl>
    <w:p>
      <w:pPr>
        <w:pStyle w:val="Heading2"/>
      </w:pPr>
      <w:r>
        <w:rPr>
          <w:color w:val="8B1E1E"/>
        </w:rPr>
        <w:t>Riscos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Risco</w:t>
            </w:r>
          </w:p>
        </w:tc>
        <w:tc>
          <w:tcPr>
            <w:tcW w:type="dxa" w:w="4419"/>
          </w:tcPr>
          <w:p>
            <w:r>
              <w:t>Mitigacao</w:t>
            </w:r>
          </w:p>
        </w:tc>
      </w:tr>
      <w:tr>
        <w:tc>
          <w:tcPr>
            <w:tcW w:type="dxa" w:w="4419"/>
          </w:tcPr>
          <w:p>
            <w:r>
              <w:t>Contexto irrelevante</w:t>
            </w:r>
          </w:p>
        </w:tc>
        <w:tc>
          <w:tcPr>
            <w:tcW w:type="dxa" w:w="4419"/>
          </w:tcPr>
          <w:p>
            <w:r>
              <w:t>rerank</w:t>
            </w:r>
          </w:p>
        </w:tc>
      </w:tr>
      <w:tr>
        <w:tc>
          <w:tcPr>
            <w:tcW w:type="dxa" w:w="4419"/>
          </w:tcPr>
          <w:p>
            <w:r>
              <w:t>Hallucination</w:t>
            </w:r>
          </w:p>
        </w:tc>
        <w:tc>
          <w:tcPr>
            <w:tcW w:type="dxa" w:w="4419"/>
          </w:tcPr>
          <w:p>
            <w:r>
              <w:t>cite trecho</w:t>
            </w:r>
          </w:p>
        </w:tc>
      </w:tr>
    </w:tbl>
    <w:p>
      <w:pPr>
        <w:pStyle w:val="Heading2"/>
      </w:pPr>
      <w:r>
        <w:rPr>
          <w:color w:val="8B1E1E"/>
        </w:rPr>
        <w:t>Proximos Passos</w:t>
      </w:r>
    </w:p>
    <w:p>
      <w:pPr>
        <w:pStyle w:val="ListBullet"/>
      </w:pPr>
      <w:r>
        <w:t>RAG hibrido (04-A2).</w:t>
      </w:r>
    </w:p>
    <w:p>
      <w:pPr>
        <w:pStyle w:val="ListBullet"/>
      </w:pPr>
      <w:r>
        <w:t>Avaliacao RAGAS.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