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Engenharia de Custos de LLM (custo por tarefa, cache, roteamento)</w:t>
      </w:r>
    </w:p>
    <w:p>
      <w:pPr>
        <w:jc w:val="center"/>
      </w:pPr>
      <w:r>
        <w:rPr>
          <w:color w:val="6B7A8A"/>
          <w:sz w:val="24"/>
        </w:rPr>
        <w:t>Dossie Tecnico (Nivel Senior)</w:t>
      </w:r>
    </w:p>
    <w:p>
      <w:pPr>
        <w:jc w:val="center"/>
      </w:pPr>
      <w:r>
        <w:rPr>
          <w:color w:val="495560"/>
          <w:sz w:val="22"/>
        </w:rPr>
        <w:t>Autor: Marcos L. R. V. (Coordenador de Engenharia)</w:t>
        <w:br/>
      </w:r>
      <w:r>
        <w:rPr>
          <w:color w:val="495560"/>
          <w:sz w:val="22"/>
        </w:rPr>
        <w:t>Unidade: V4 Company / Squad de Engenharia de IA</w:t>
        <w:br/>
      </w:r>
      <w:r>
        <w:rPr>
          <w:color w:val="495560"/>
          <w:sz w:val="22"/>
        </w:rPr>
        <w:t>Data: 2026-08-27</w:t>
        <w:br/>
      </w:r>
      <w:r>
        <w:rPr>
          <w:color w:val="495560"/>
          <w:sz w:val="22"/>
        </w:rPr>
        <w:t>Area: Engenharia de IA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Resumo Executivo</w:t>
      </w:r>
    </w:p>
    <w:p>
      <w:r>
        <w:t>Framework de custo de LLM: custo por tarefa, cache de prompt, roteamento por complexidade e budget. Entrego o padrao e um calculador.</w:t>
      </w:r>
    </w:p>
    <w:p>
      <w:r>
        <w:t>Sem contabilidade de tokens, nao se precifica o agente.</w:t>
      </w:r>
    </w:p>
    <w:p>
      <w:pPr>
        <w:pStyle w:val="Heading2"/>
      </w:pPr>
      <w:r>
        <w:rPr>
          <w:color w:val="8B1E1E"/>
        </w:rPr>
        <w:t>Contexto de Producao</w:t>
      </w:r>
    </w:p>
    <w:p>
      <w:pPr>
        <w:pStyle w:val="ListBullet"/>
      </w:pPr>
      <w:r>
        <w:t>Modelo 'maxi' para tudo (10x custo).</w:t>
      </w:r>
    </w:p>
    <w:p>
      <w:pPr>
        <w:pStyle w:val="ListBullet"/>
      </w:pPr>
      <w:r>
        <w:t>Sem cache -&gt; mesma pergunta paga 2x.</w:t>
      </w:r>
    </w:p>
    <w:p>
      <w:pPr>
        <w:pStyle w:val="ListBullet"/>
      </w:pPr>
      <w:r>
        <w:t>Impossivel precificar ao cliente.</w:t>
      </w:r>
    </w:p>
    <w:p>
      <w:pPr>
        <w:pStyle w:val="Heading2"/>
      </w:pPr>
      <w:r>
        <w:rPr>
          <w:color w:val="8B1E1E"/>
        </w:rPr>
        <w:t>Diagnostico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Hoje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modelo unico</w:t>
            </w:r>
          </w:p>
        </w:tc>
        <w:tc>
          <w:tcPr>
            <w:tcW w:type="dxa" w:w="4419"/>
          </w:tcPr>
          <w:p>
            <w:r>
              <w:t>roteamento</w:t>
            </w:r>
          </w:p>
        </w:tc>
      </w:tr>
      <w:tr>
        <w:tc>
          <w:tcPr>
            <w:tcW w:type="dxa" w:w="4419"/>
          </w:tcPr>
          <w:p>
            <w:r>
              <w:t>sem cache</w:t>
            </w:r>
          </w:p>
        </w:tc>
        <w:tc>
          <w:tcPr>
            <w:tcW w:type="dxa" w:w="4419"/>
          </w:tcPr>
          <w:p>
            <w:r>
              <w:t>cache</w:t>
            </w:r>
          </w:p>
        </w:tc>
      </w:tr>
      <w:tr>
        <w:tc>
          <w:tcPr>
            <w:tcW w:type="dxa" w:w="4419"/>
          </w:tcPr>
          <w:p>
            <w:r>
              <w:t>custo invisivel</w:t>
            </w:r>
          </w:p>
        </w:tc>
        <w:tc>
          <w:tcPr>
            <w:tcW w:type="dxa" w:w="4419"/>
          </w:tcPr>
          <w:p>
            <w:r>
              <w:t>custo/tarefa</w:t>
            </w:r>
          </w:p>
        </w:tc>
      </w:tr>
    </w:tbl>
    <w:p>
      <w:pPr>
        <w:pStyle w:val="Heading2"/>
      </w:pPr>
      <w:r>
        <w:rPr>
          <w:color w:val="8B1E1E"/>
        </w:rPr>
        <w:t>Decisao Arquitetural (ADR)</w:t>
      </w:r>
    </w:p>
    <w:p>
      <w:r>
        <w:t>ADR-044 — Estrategia de Custo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Opcao</w:t>
            </w:r>
          </w:p>
        </w:tc>
        <w:tc>
          <w:tcPr>
            <w:tcW w:type="dxa" w:w="2209"/>
          </w:tcPr>
          <w:p>
            <w:r>
              <w:t>Pro</w:t>
            </w:r>
          </w:p>
        </w:tc>
        <w:tc>
          <w:tcPr>
            <w:tcW w:type="dxa" w:w="2209"/>
          </w:tcPr>
          <w:p>
            <w:r>
              <w:t>Contra</w:t>
            </w:r>
          </w:p>
        </w:tc>
        <w:tc>
          <w:tcPr>
            <w:tcW w:type="dxa" w:w="2209"/>
          </w:tcPr>
          <w:p>
            <w:r>
              <w:t>Decisao</w:t>
            </w:r>
          </w:p>
        </w:tc>
      </w:tr>
      <w:tr>
        <w:tc>
          <w:tcPr>
            <w:tcW w:type="dxa" w:w="2209"/>
          </w:tcPr>
          <w:p>
            <w:r>
              <w:t>Roteamento + cache + budget</w:t>
            </w:r>
          </w:p>
        </w:tc>
        <w:tc>
          <w:tcPr>
            <w:tcW w:type="dxa" w:w="2209"/>
          </w:tcPr>
          <w:p>
            <w:r>
              <w:t>previsivel</w:t>
            </w:r>
          </w:p>
        </w:tc>
        <w:tc>
          <w:tcPr>
            <w:tcW w:type="dxa" w:w="2209"/>
          </w:tcPr>
          <w:p>
            <w:r>
              <w:t>governanca</w:t>
            </w:r>
          </w:p>
        </w:tc>
        <w:tc>
          <w:tcPr>
            <w:tcW w:type="dxa" w:w="2209"/>
          </w:tcPr>
          <w:p>
            <w:r>
              <w:t>ESCOLHIDA</w:t>
            </w:r>
          </w:p>
        </w:tc>
      </w:tr>
    </w:tbl>
    <w:p>
      <w:r>
        <w:rPr>
          <w:b/>
        </w:rPr>
        <w:t xml:space="preserve">Nota: </w:t>
      </w:r>
      <w:r>
        <w:t>Trivial -&gt; leve; complexo -&gt; forte; repetido -&gt; cache.</w:t>
      </w:r>
    </w:p>
    <w:p>
      <w:pPr>
        <w:pStyle w:val="Heading2"/>
      </w:pPr>
      <w:r>
        <w:rPr>
          <w:color w:val="8B1E1E"/>
        </w:rPr>
        <w:t>Entregas</w:t>
      </w:r>
    </w:p>
    <w:p>
      <w:pPr>
        <w:pStyle w:val="ListBullet"/>
      </w:pPr>
      <w:r>
        <w:t>LLM-COST.md.</w:t>
      </w:r>
    </w:p>
    <w:p>
      <w:pPr>
        <w:pStyle w:val="ListBullet"/>
      </w:pPr>
      <w:r>
        <w:t>cost_calc.py.</w:t>
      </w:r>
    </w:p>
    <w:p>
      <w:pPr>
        <w:pStyle w:val="ListBullet"/>
      </w:pPr>
      <w:r>
        <w:t>BUDGET.md.</w:t>
      </w:r>
    </w:p>
    <w:p>
      <w:pPr>
        <w:pStyle w:val="Heading2"/>
      </w:pPr>
      <w:r>
        <w:rPr>
          <w:color w:val="8B1E1E"/>
        </w:rPr>
        <w:t>Validacao</w:t>
      </w:r>
    </w:p>
    <w:p>
      <w:pPr>
        <w:pStyle w:val="ListNumber"/>
      </w:pPr>
      <w:r>
        <w:t>Medir custo/tarefa com e sem roteamento.</w:t>
      </w:r>
    </w:p>
    <w:p>
      <w:pPr>
        <w:pStyle w:val="ListNumber"/>
      </w:pPr>
      <w:r>
        <w:t>Habilitar cache; medir hit rate.</w:t>
      </w:r>
    </w:p>
    <w:p>
      <w:pPr>
        <w:pStyle w:val="ListNumber"/>
      </w:pPr>
      <w:r>
        <w:t>Budget por cliente + alerta 80%.</w:t>
      </w:r>
    </w:p>
    <w:p>
      <w:pPr>
        <w:pStyle w:val="Heading2"/>
      </w:pPr>
      <w:r>
        <w:rPr>
          <w:color w:val="8B1E1E"/>
        </w:rPr>
        <w:t>Metricas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Custo/tarefa</w:t>
            </w:r>
          </w:p>
        </w:tc>
        <w:tc>
          <w:tcPr>
            <w:tcW w:type="dxa" w:w="4419"/>
          </w:tcPr>
          <w:p>
            <w:r>
              <w:t>&lt;= baseline*0.4</w:t>
            </w:r>
          </w:p>
        </w:tc>
      </w:tr>
      <w:tr>
        <w:tc>
          <w:tcPr>
            <w:tcW w:type="dxa" w:w="4419"/>
          </w:tcPr>
          <w:p>
            <w:r>
              <w:t>Cache hit</w:t>
            </w:r>
          </w:p>
        </w:tc>
        <w:tc>
          <w:tcPr>
            <w:tcW w:type="dxa" w:w="4419"/>
          </w:tcPr>
          <w:p>
            <w:r>
              <w:t>&gt;= 30%</w:t>
            </w:r>
          </w:p>
        </w:tc>
      </w:tr>
      <w:tr>
        <w:tc>
          <w:tcPr>
            <w:tcW w:type="dxa" w:w="4419"/>
          </w:tcPr>
          <w:p>
            <w:r>
              <w:t>Budget</w:t>
            </w:r>
          </w:p>
        </w:tc>
        <w:tc>
          <w:tcPr>
            <w:tcW w:type="dxa" w:w="4419"/>
          </w:tcPr>
          <w:p>
            <w:r>
              <w:t>alerta 80%</w:t>
            </w:r>
          </w:p>
        </w:tc>
      </w:tr>
    </w:tbl>
    <w:p>
      <w:pPr>
        <w:pStyle w:val="Heading2"/>
      </w:pPr>
      <w:r>
        <w:rPr>
          <w:color w:val="8B1E1E"/>
        </w:rPr>
        <w:t>Riscos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Risco</w:t>
            </w:r>
          </w:p>
        </w:tc>
        <w:tc>
          <w:tcPr>
            <w:tcW w:type="dxa" w:w="4419"/>
          </w:tcPr>
          <w:p>
            <w:r>
              <w:t>Mitigacao</w:t>
            </w:r>
          </w:p>
        </w:tc>
      </w:tr>
      <w:tr>
        <w:tc>
          <w:tcPr>
            <w:tcW w:type="dxa" w:w="4419"/>
          </w:tcPr>
          <w:p>
            <w:r>
              <w:t>Qualidade cai</w:t>
            </w:r>
          </w:p>
        </w:tc>
        <w:tc>
          <w:tcPr>
            <w:tcW w:type="dxa" w:w="4419"/>
          </w:tcPr>
          <w:p>
            <w:r>
              <w:t>eval + roteamento</w:t>
            </w:r>
          </w:p>
        </w:tc>
      </w:tr>
      <w:tr>
        <w:tc>
          <w:tcPr>
            <w:tcW w:type="dxa" w:w="4419"/>
          </w:tcPr>
          <w:p>
            <w:r>
              <w:t>Cache PII</w:t>
            </w:r>
          </w:p>
        </w:tc>
        <w:tc>
          <w:tcPr>
            <w:tcW w:type="dxa" w:w="4419"/>
          </w:tcPr>
          <w:p>
            <w:r>
              <w:t>nao cachear</w:t>
            </w:r>
          </w:p>
        </w:tc>
      </w:tr>
    </w:tbl>
    <w:p>
      <w:pPr>
        <w:pStyle w:val="Heading2"/>
      </w:pPr>
      <w:r>
        <w:rPr>
          <w:color w:val="8B1E1E"/>
        </w:rPr>
        <w:t>Proximos Passos</w:t>
      </w:r>
    </w:p>
    <w:p>
      <w:pPr>
        <w:pStyle w:val="ListBullet"/>
      </w:pPr>
      <w:r>
        <w:t>Precificar por tarefa.</w:t>
      </w:r>
    </w:p>
    <w:p>
      <w:pPr>
        <w:pStyle w:val="ListBullet"/>
      </w:pPr>
      <w:r>
        <w:t>Dashboard de custo.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