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Idempotencia e Entrega Exactly-Once (na pratica: at-least-once + dedup)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Sistemas Distribuidos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Garantir idempotencia de handlers: dedup por chave de evento + upsert, tornando 'at-least-once' equivalente a 'exactly-once' para o negocio. Entrego o padrao e um decorator.</w:t>
      </w:r>
    </w:p>
    <w:p>
      <w:r>
        <w:t>Mensageria entrega no minimo 1 vez; sem dedup, reenvio duplica lead/fatura.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Reenvio duplicava leads (CNPJ repetido).</w:t>
      </w:r>
    </w:p>
    <w:p>
      <w:pPr>
        <w:pStyle w:val="ListBullet"/>
      </w:pPr>
      <w:r>
        <w:t>Fatura emitida 2x em retry.</w:t>
      </w:r>
    </w:p>
    <w:p>
      <w:pPr>
        <w:pStyle w:val="ListBullet"/>
      </w:pPr>
      <w:r>
        <w:t>Sem chave de evento.</w:t>
      </w:r>
    </w:p>
    <w:p>
      <w:pPr>
        <w:pStyle w:val="Heading2"/>
      </w:pPr>
      <w:r>
        <w:rPr>
          <w:color w:val="8B1E1E"/>
        </w:rPr>
        <w:t>Diagnostico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Hoje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reatenvio duplica</w:t>
            </w:r>
          </w:p>
        </w:tc>
        <w:tc>
          <w:tcPr>
            <w:tcW w:type="dxa" w:w="4419"/>
          </w:tcPr>
          <w:p>
            <w:r>
              <w:t>dedup event_id</w:t>
            </w:r>
          </w:p>
        </w:tc>
      </w:tr>
      <w:tr>
        <w:tc>
          <w:tcPr>
            <w:tcW w:type="dxa" w:w="4419"/>
          </w:tcPr>
          <w:p>
            <w:r>
              <w:t>sem upsert</w:t>
            </w:r>
          </w:p>
        </w:tc>
        <w:tc>
          <w:tcPr>
            <w:tcW w:type="dxa" w:w="4419"/>
          </w:tcPr>
          <w:p>
            <w:r>
              <w:t>upsert</w:t>
            </w:r>
          </w:p>
        </w:tc>
      </w:tr>
      <w:tr>
        <w:tc>
          <w:tcPr>
            <w:tcW w:type="dxa" w:w="4419"/>
          </w:tcPr>
          <w:p>
            <w:r>
              <w:t>sem versao</w:t>
            </w:r>
          </w:p>
        </w:tc>
        <w:tc>
          <w:tcPr>
            <w:tcW w:type="dxa" w:w="4419"/>
          </w:tcPr>
          <w:p>
            <w:r>
              <w:t>etag</w:t>
            </w:r>
          </w:p>
        </w:tc>
      </w:tr>
    </w:tbl>
    <w:p>
      <w:pPr>
        <w:pStyle w:val="Heading2"/>
      </w:pPr>
      <w:r>
        <w:rPr>
          <w:color w:val="8B1E1E"/>
        </w:rPr>
        <w:t>Decisao Arquitetural (ADR)</w:t>
      </w:r>
    </w:p>
    <w:p>
      <w:r>
        <w:t>ADR-052 — Idempotencia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dedup event_id + upsert</w:t>
            </w:r>
          </w:p>
        </w:tc>
        <w:tc>
          <w:tcPr>
            <w:tcW w:type="dxa" w:w="2209"/>
          </w:tcPr>
          <w:p>
            <w:r>
              <w:t>exactly-once p/ negocio</w:t>
            </w:r>
          </w:p>
        </w:tc>
        <w:tc>
          <w:tcPr>
            <w:tcW w:type="dxa" w:w="2209"/>
          </w:tcPr>
          <w:p>
            <w:r>
              <w:t>store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</w:tbl>
    <w:p>
      <w:r>
        <w:rPr>
          <w:b/>
        </w:rPr>
        <w:t xml:space="preserve">Nota: </w:t>
      </w:r>
      <w:r>
        <w:t>At-least-once do broker + dedup no consumidor = exactly-once observacional.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IDEMPOTENCY.md.</w:t>
      </w:r>
    </w:p>
    <w:p>
      <w:pPr>
        <w:pStyle w:val="ListBullet"/>
      </w:pPr>
      <w:r>
        <w:t>idempotent.py.</w:t>
      </w:r>
    </w:p>
    <w:p>
      <w:pPr>
        <w:pStyle w:val="ListBullet"/>
      </w:pPr>
      <w:r>
        <w:t>schema_dedup.sql.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Mesmo evento 3x -&gt; 1 efeito.</w:t>
      </w:r>
    </w:p>
    <w:p>
      <w:pPr>
        <w:pStyle w:val="ListNumber"/>
      </w:pPr>
      <w:r>
        <w:t>Concorrencia: 2 consumers, 1 aplicacao.</w:t>
      </w:r>
    </w:p>
    <w:p>
      <w:pPr>
        <w:pStyle w:val="ListNumber"/>
      </w:pPr>
      <w:r>
        <w:t>DLQ nao cria duplicata.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Duplicatas</w:t>
            </w:r>
          </w:p>
        </w:tc>
        <w:tc>
          <w:tcPr>
            <w:tcW w:type="dxa" w:w="4419"/>
          </w:tcPr>
          <w:p>
            <w:r>
              <w:t>0</w:t>
            </w:r>
          </w:p>
        </w:tc>
      </w:tr>
      <w:tr>
        <w:tc>
          <w:tcPr>
            <w:tcW w:type="dxa" w:w="4419"/>
          </w:tcPr>
          <w:p>
            <w:r>
              <w:t>Idempotente</w:t>
            </w:r>
          </w:p>
        </w:tc>
        <w:tc>
          <w:tcPr>
            <w:tcW w:type="dxa" w:w="4419"/>
          </w:tcPr>
          <w:p>
            <w:r>
              <w:t>100% handlers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Store cheio</w:t>
            </w:r>
          </w:p>
        </w:tc>
        <w:tc>
          <w:tcPr>
            <w:tcW w:type="dxa" w:w="4419"/>
          </w:tcPr>
          <w:p>
            <w:r>
              <w:t>TTL</w:t>
            </w:r>
          </w:p>
        </w:tc>
      </w:tr>
      <w:tr>
        <w:tc>
          <w:tcPr>
            <w:tcW w:type="dxa" w:w="4419"/>
          </w:tcPr>
          <w:p>
            <w:r>
              <w:t>Chave errada</w:t>
            </w:r>
          </w:p>
        </w:tc>
        <w:tc>
          <w:tcPr>
            <w:tcW w:type="dxa" w:w="4419"/>
          </w:tcPr>
          <w:p>
            <w:r>
              <w:t>event_id + negocio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Aplicar em todos os consumers.</w:t>
      </w:r>
    </w:p>
    <w:p>
      <w:pPr>
        <w:pStyle w:val="ListBullet"/>
      </w:pPr>
      <w:r>
        <w:t>Teste de concorrencia no CI.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