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Fundamentos de IA Generativa (NVIDIA DLI) aplicados a RAG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04 Engenharia de IA, RAG e Vetores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Baseline RAG a partir do curso Building RAG Agents with LLMs (NVIDIA DLI), com chunk 512 e overlap 64, top-k 20 com rerank para top-5, e avaliacao de faithfulness em 10 perguntas.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Chunk grande gera ruido e chunk pequeno perde contexto. Similaridade pura devolve contexto irrelevante e nao ha metrica de qualidade sem normalizacao de embeddings.</w:t>
      </w:r>
    </w:p>
    <w:p>
      <w:pPr>
        <w:pStyle w:val="Heading2"/>
      </w:pPr>
      <w:r>
        <w:rPr>
          <w:color w:val="8B1E1E"/>
        </w:rPr>
        <w:t>3. Solucao</w:t>
      </w:r>
    </w:p>
    <w:p>
      <w:r>
        <w:t>Modulo com tokenizacao, embeddings text-embedding-3-small de 1536 dim, similaridade por cosseno com threshold 0.82, guardrails de PII e golden set com 50 pares.</w:t>
      </w:r>
    </w:p>
    <w:p>
      <w:pPr>
        <w:pStyle w:val="Heading2"/>
      </w:pPr>
      <w:r>
        <w:rPr>
          <w:color w:val="8B1E1E"/>
        </w:rPr>
        <w:t>4. Entregas</w:t>
      </w:r>
    </w:p>
    <w:p>
      <w:pPr>
        <w:pStyle w:val="ListBullet"/>
      </w:pPr>
      <w:r>
        <w:t>DLI-NOTES.md</w:t>
      </w:r>
    </w:p>
    <w:p>
      <w:pPr>
        <w:pStyle w:val="ListBullet"/>
      </w:pPr>
      <w:r>
        <w:t>rag_baseline.py (embed.py, count_tokens, cosine, check_safety, eval_report)</w:t>
      </w:r>
    </w:p>
    <w:p>
      <w:pPr>
        <w:pStyle w:val="ListBullet"/>
      </w:pPr>
      <w:r>
        <w:t>CONCLUSAO.md e guardrails.md</w:t>
      </w:r>
    </w:p>
    <w:p>
      <w:pPr>
        <w:pStyle w:val="Heading2"/>
      </w:pPr>
      <w:r>
        <w:rPr>
          <w:color w:val="8B1E1E"/>
        </w:rPr>
        <w:t>5. Metricas</w:t>
      </w:r>
    </w:p>
    <w:p>
      <w:pPr>
        <w:pStyle w:val="ListBullet"/>
      </w:pPr>
      <w:r>
        <w:t>Faithfulness maior ou igual a 0.8</w:t>
      </w:r>
    </w:p>
    <w:p>
      <w:pPr>
        <w:pStyle w:val="ListBullet"/>
      </w:pPr>
      <w:r>
        <w:t>Chunk 512 com overlap 64</w:t>
      </w:r>
    </w:p>
    <w:p>
      <w:pPr>
        <w:pStyle w:val="ListBullet"/>
      </w:pPr>
      <w:r>
        <w:t>Score medio maior ou igual a 0.90 no golden set</w:t>
      </w:r>
    </w:p>
    <w:p>
      <w:pPr>
        <w:pStyle w:val="ListBullet"/>
      </w:pPr>
      <w:r>
        <w:t>100 por cento de bloqueio em guardrails</w:t>
      </w:r>
    </w:p>
    <w:p>
      <w:pPr>
        <w:pStyle w:val="Heading2"/>
      </w:pPr>
      <w:r>
        <w:rPr>
          <w:color w:val="8B1E1E"/>
        </w:rPr>
        <w:t>6. Status final</w:t>
      </w:r>
    </w:p>
    <w:p>
      <w:r>
        <w:t>Desenvolvido e em homologacao. Aguarda revisao antes de producao.</w:t>
      </w:r>
    </w:p>
    <w:p>
      <w:pPr>
        <w:pStyle w:val="Heading2"/>
      </w:pPr>
      <w:r>
        <w:rPr>
          <w:color w:val="8B1E1E"/>
        </w:rPr>
        <w:t>9. Decisoes e tradeoffs</w:t>
      </w:r>
    </w:p>
    <w:p>
      <w:pPr>
        <w:pStyle w:val="ListBullet"/>
      </w:pPr>
      <w:r>
        <w:t>Chunk 512 com overlap 64: escolhi coesao contra custo de tokens, porque chunk grande gera ruido e chunk pequeno perde contexto, conforme ADR-041.</w:t>
      </w:r>
    </w:p>
    <w:p>
      <w:pPr>
        <w:pStyle w:val="ListBullet"/>
      </w:pPr>
      <w:r>
        <w:t>Top-k 20 com rerank para top-5: aceitei latencia extra do rerank para filtrar o ruido da similaridade pura.</w:t>
      </w:r>
    </w:p>
    <w:p>
      <w:pPr>
        <w:pStyle w:val="ListBullet"/>
      </w:pPr>
      <w:r>
        <w:t>Normalizar embeddings de 1536 dim com cosseno e threshold 0.82: padronizei a medida para o score ser comparavel entre textos de tamanhos distintos.</w:t>
      </w:r>
    </w:p>
    <w:p>
      <w:pPr>
        <w:pStyle w:val="ListBullet"/>
      </w:pPr>
      <w:r>
        <w:t>Golden set com 50 pares e faithfulness maior ou igual a 0.8 em 10 perguntas: troquei avaliacao no olhometro por gate reproduzivel no CI.</w:t>
      </w:r>
    </w:p>
    <w:p>
      <w:pPr>
        <w:pStyle w:val="ListBullet"/>
      </w:pPr>
      <w:r>
        <w:t>Guardrail fail-closed com 100 por cento de bloqueio antes da producao: preferi falso positivo seguro a resposta toxica, fora de dominio ou com PII.</w:t>
      </w:r>
    </w:p>
    <w:p>
      <w:pPr>
        <w:pStyle w:val="Heading2"/>
      </w:pPr>
      <w:r>
        <w:rPr>
          <w:color w:val="8B1E1E"/>
        </w:rPr>
        <w:t>10. Impacto no negocio</w:t>
      </w:r>
    </w:p>
    <w:p>
      <w:r>
        <w:t>O baseline com faithfulness maior ou igual a 0.8 e score medio maior ou igual a 0.90 no golden set de 50 pares reduz risco de hallucination em producao e elimina a surpresa de fatura com contagem previa de tokens, o que encurta homologacao e sustenta as atividades seguintes de RAG hibrido e custos.</w:t>
      </w:r>
    </w:p>
    <w:p>
      <w:pPr>
        <w:pStyle w:val="Heading2"/>
      </w:pPr>
      <w:r>
        <w:rPr>
          <w:color w:val="8B1E1E"/>
        </w:rPr>
        <w:t>11. Referencias de estudo</w:t>
      </w:r>
    </w:p>
    <w:p>
      <w:pPr>
        <w:pStyle w:val="ListBullet"/>
      </w:pPr>
      <w:r>
        <w:t>Curso: Building RAG Agents with LLMs, plataforma NVIDIA Deep Learning Institute (DLI).</w:t>
      </w:r>
    </w:p>
    <w:p>
      <w:pPr>
        <w:pStyle w:val="ListBullet"/>
      </w:pPr>
      <w:r>
        <w:t>Video: RAG from Scratch com chunking, embeddings e avaliacao, plataforma YouTube, canal LangChain.</w:t>
      </w:r>
    </w:p>
    <w:p>
      <w:pPr>
        <w:pStyle w:val="ListBullet"/>
      </w:pPr>
      <w:r>
        <w:t>Doc oficial: Guia de embeddings text-embedding-3-small, documentacao oficial OpenAI.</w:t>
      </w:r>
    </w:p>
    <w:p>
      <w:pPr>
        <w:pStyle w:val="ListBullet"/>
      </w:pPr>
      <w:r>
        <w:t>Doc oficial: Documentacao do pgvector com indice HNSW, documentacao oficial pgvector.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