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Code Review Efetivo: Checklist Objetivo, Cultura e Criterio de Barreira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 - Automacao &amp; Infraestrutura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O review na FV e loteria: PR gigante passa sem leitura e PR pequeno trava em gosto pessoal. Sem regra escrita, cada revisor inventa o criterio e o merge vira negociacao.</w:t>
      </w:r>
    </w:p>
    <w:p>
      <w:r>
        <w:t>O custo aparece depois do merge em hotfix, chamado de cliente e retrabalho que consome a sprint seguinte.</w:t>
      </w:r>
    </w:p>
    <w:p>
      <w:pPr>
        <w:pStyle w:val="Heading2"/>
      </w:pPr>
      <w:r>
        <w:rPr>
          <w:color w:val="8B1E1E"/>
        </w:rPr>
        <w:t>2. Diagnostico</w:t>
      </w:r>
    </w:p>
    <w:p>
      <w:r>
        <w:t>Tempo mediano de primeira resposta de 26h, 38% dos PRs acima de 400 linhas, 17% de retrabalho em 7 dias e 1,8 comentario acionavel por PR. Causa raiz: ausencia de definicao escrita do que barra o merge.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Atual</w:t>
            </w:r>
          </w:p>
        </w:tc>
      </w:tr>
      <w:tr>
        <w:tc>
          <w:tcPr>
            <w:tcW w:type="dxa" w:w="4419"/>
          </w:tcPr>
          <w:p>
            <w:r>
              <w:t>Primeira resposta</w:t>
            </w:r>
          </w:p>
        </w:tc>
        <w:tc>
          <w:tcPr>
            <w:tcW w:type="dxa" w:w="4419"/>
          </w:tcPr>
          <w:p>
            <w:r>
              <w:t>26h</w:t>
            </w:r>
          </w:p>
        </w:tc>
      </w:tr>
      <w:tr>
        <w:tc>
          <w:tcPr>
            <w:tcW w:type="dxa" w:w="4419"/>
          </w:tcPr>
          <w:p>
            <w:r>
              <w:t>PRs &gt; 400 linhas</w:t>
            </w:r>
          </w:p>
        </w:tc>
        <w:tc>
          <w:tcPr>
            <w:tcW w:type="dxa" w:w="4419"/>
          </w:tcPr>
          <w:p>
            <w:r>
              <w:t>38%</w:t>
            </w:r>
          </w:p>
        </w:tc>
      </w:tr>
      <w:tr>
        <w:tc>
          <w:tcPr>
            <w:tcW w:type="dxa" w:w="4419"/>
          </w:tcPr>
          <w:p>
            <w:r>
              <w:t>Retrabalho pos merge</w:t>
            </w:r>
          </w:p>
        </w:tc>
        <w:tc>
          <w:tcPr>
            <w:tcW w:type="dxa" w:w="4419"/>
          </w:tcPr>
          <w:p>
            <w:r>
              <w:t>17%</w:t>
            </w:r>
          </w:p>
        </w:tc>
      </w:tr>
      <w:tr>
        <w:tc>
          <w:tcPr>
            <w:tcW w:type="dxa" w:w="4419"/>
          </w:tcPr>
          <w:p>
            <w:r>
              <w:t>Comentarios acionaveis/PR</w:t>
            </w:r>
          </w:p>
        </w:tc>
        <w:tc>
          <w:tcPr>
            <w:tcW w:type="dxa" w:w="4419"/>
          </w:tcPr>
          <w:p>
            <w:r>
              <w:t>1,8</w:t>
            </w:r>
          </w:p>
        </w:tc>
      </w:tr>
    </w:tbl>
    <w:p>
      <w:pPr>
        <w:pStyle w:val="Heading2"/>
      </w:pPr>
      <w:r>
        <w:rPr>
          <w:color w:val="8B1E1E"/>
        </w:rPr>
        <w:t>3. Solucao</w:t>
      </w:r>
    </w:p>
    <w:p>
      <w:r>
        <w:t>Politica de 7 barreiras objetivas, checklist de 6 blocos, SLA de 8h uteis (2h urgente), template de PR e CODEOWNERS com 2 approvals em area critica.</w:t>
      </w:r>
    </w:p>
    <w:p>
      <w:pPr>
        <w:pStyle w:val="ListBullet"/>
      </w:pPr>
      <w:r>
        <w:t>STD-01: barreiras, SLA, teto de PR, papeis e vereditos</w:t>
      </w:r>
    </w:p>
    <w:p>
      <w:pPr>
        <w:pStyle w:val="ListBullet"/>
      </w:pPr>
      <w:r>
        <w:t>STD-02: etiqueta de comentario e rito de impasse</w:t>
      </w:r>
    </w:p>
    <w:p>
      <w:pPr>
        <w:pStyle w:val="ListBullet"/>
      </w:pPr>
      <w:r>
        <w:t>TPL checklist de review por categoria</w:t>
      </w:r>
    </w:p>
    <w:p>
      <w:pPr>
        <w:pStyle w:val="ListBullet"/>
      </w:pPr>
      <w:r>
        <w:t>TPL descricao de PR com SLA</w:t>
      </w:r>
    </w:p>
    <w:p>
      <w:pPr>
        <w:pStyle w:val="Heading2"/>
      </w:pPr>
      <w:r>
        <w:rPr>
          <w:color w:val="8B1E1E"/>
        </w:rPr>
        <w:t>4. Como funciona</w:t>
      </w:r>
    </w:p>
    <w:p>
      <w:pPr>
        <w:pStyle w:val="ListNumber"/>
      </w:pPr>
      <w:r>
        <w:t>Autor abre PR com template e CI verde</w:t>
      </w:r>
    </w:p>
    <w:p>
      <w:pPr>
        <w:pStyle w:val="ListNumber"/>
      </w:pPr>
      <w:r>
        <w:t>Revisor responde em 8h uteis (2h urgente)</w:t>
      </w:r>
    </w:p>
    <w:p>
      <w:pPr>
        <w:pStyle w:val="ListNumber"/>
      </w:pPr>
      <w:r>
        <w:t>Checklist em 6 blocos, primeiro o que barra</w:t>
      </w:r>
    </w:p>
    <w:p>
      <w:pPr>
        <w:pStyle w:val="ListNumber"/>
      </w:pPr>
      <w:r>
        <w:t>Veredito: approve, comment ou request changes</w:t>
      </w:r>
    </w:p>
    <w:p>
      <w:pPr>
        <w:pStyle w:val="ListNumber"/>
      </w:pPr>
      <w:r>
        <w:t>Merge com squash e metricas semanais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Conteudo</w:t>
            </w:r>
          </w:p>
        </w:tc>
      </w:tr>
      <w:tr>
        <w:tc>
          <w:tcPr>
            <w:tcW w:type="dxa" w:w="4419"/>
          </w:tcPr>
          <w:p>
            <w:r>
              <w:t>STD-01-politica-code-review.md</w:t>
            </w:r>
          </w:p>
        </w:tc>
        <w:tc>
          <w:tcPr>
            <w:tcW w:type="dxa" w:w="4419"/>
          </w:tcPr>
          <w:p>
            <w:r>
              <w:t>Barreiras, SLA, teto, papeis</w:t>
            </w:r>
          </w:p>
        </w:tc>
      </w:tr>
      <w:tr>
        <w:tc>
          <w:tcPr>
            <w:tcW w:type="dxa" w:w="4419"/>
          </w:tcPr>
          <w:p>
            <w:r>
              <w:t>STD-02-cultura-e-etiqueta-review.md</w:t>
            </w:r>
          </w:p>
        </w:tc>
        <w:tc>
          <w:tcPr>
            <w:tcW w:type="dxa" w:w="4419"/>
          </w:tcPr>
          <w:p>
            <w:r>
              <w:t>Comentarios e impasse</w:t>
            </w:r>
          </w:p>
        </w:tc>
      </w:tr>
      <w:tr>
        <w:tc>
          <w:tcPr>
            <w:tcW w:type="dxa" w:w="4419"/>
          </w:tcPr>
          <w:p>
            <w:r>
              <w:t>TPL-checklist-review.md</w:t>
            </w:r>
          </w:p>
        </w:tc>
        <w:tc>
          <w:tcPr>
            <w:tcW w:type="dxa" w:w="4419"/>
          </w:tcPr>
          <w:p>
            <w:r>
              <w:t>Checklist copiavel</w:t>
            </w:r>
          </w:p>
        </w:tc>
      </w:tr>
      <w:tr>
        <w:tc>
          <w:tcPr>
            <w:tcW w:type="dxa" w:w="4419"/>
          </w:tcPr>
          <w:p>
            <w:r>
              <w:t>TPL-pr-descricao-e-sla.md</w:t>
            </w:r>
          </w:p>
        </w:tc>
        <w:tc>
          <w:tcPr>
            <w:tcW w:type="dxa" w:w="4419"/>
          </w:tcPr>
          <w:p>
            <w:r>
              <w:t>Template de PR e SLA</w:t>
            </w:r>
          </w:p>
        </w:tc>
      </w:tr>
    </w:tbl>
    <w:p>
      <w:pPr>
        <w:pStyle w:val="Heading2"/>
      </w:pPr>
      <w:r>
        <w:rPr>
          <w:color w:val="8B1E1E"/>
        </w:rPr>
        <w:t>6. Metricas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Primeira resposta</w:t>
            </w:r>
          </w:p>
        </w:tc>
        <w:tc>
          <w:tcPr>
            <w:tcW w:type="dxa" w:w="2946"/>
          </w:tcPr>
          <w:p>
            <w:r>
              <w:t>26h</w:t>
            </w:r>
          </w:p>
        </w:tc>
        <w:tc>
          <w:tcPr>
            <w:tcW w:type="dxa" w:w="2946"/>
          </w:tcPr>
          <w:p>
            <w:r>
              <w:t>8h (meta)</w:t>
            </w:r>
          </w:p>
        </w:tc>
      </w:tr>
      <w:tr>
        <w:tc>
          <w:tcPr>
            <w:tcW w:type="dxa" w:w="2946"/>
          </w:tcPr>
          <w:p>
            <w:r>
              <w:t>PRs &gt; 400 linhas</w:t>
            </w:r>
          </w:p>
        </w:tc>
        <w:tc>
          <w:tcPr>
            <w:tcW w:type="dxa" w:w="2946"/>
          </w:tcPr>
          <w:p>
            <w:r>
              <w:t>38%</w:t>
            </w:r>
          </w:p>
        </w:tc>
        <w:tc>
          <w:tcPr>
            <w:tcW w:type="dxa" w:w="2946"/>
          </w:tcPr>
          <w:p>
            <w:r>
              <w:t>10% (meta)</w:t>
            </w:r>
          </w:p>
        </w:tc>
      </w:tr>
      <w:tr>
        <w:tc>
          <w:tcPr>
            <w:tcW w:type="dxa" w:w="2946"/>
          </w:tcPr>
          <w:p>
            <w:r>
              <w:t>Retrabalho pos merge</w:t>
            </w:r>
          </w:p>
        </w:tc>
        <w:tc>
          <w:tcPr>
            <w:tcW w:type="dxa" w:w="2946"/>
          </w:tcPr>
          <w:p>
            <w:r>
              <w:t>17%</w:t>
            </w:r>
          </w:p>
        </w:tc>
        <w:tc>
          <w:tcPr>
            <w:tcW w:type="dxa" w:w="2946"/>
          </w:tcPr>
          <w:p>
            <w:r>
              <w:t>6% (meta)</w:t>
            </w:r>
          </w:p>
        </w:tc>
      </w:tr>
      <w:tr>
        <w:tc>
          <w:tcPr>
            <w:tcW w:type="dxa" w:w="2946"/>
          </w:tcPr>
          <w:p>
            <w:r>
              <w:t>Comentarios acionaveis</w:t>
            </w:r>
          </w:p>
        </w:tc>
        <w:tc>
          <w:tcPr>
            <w:tcW w:type="dxa" w:w="2946"/>
          </w:tcPr>
          <w:p>
            <w:r>
              <w:t>1,8</w:t>
            </w:r>
          </w:p>
        </w:tc>
        <w:tc>
          <w:tcPr>
            <w:tcW w:type="dxa" w:w="2946"/>
          </w:tcPr>
          <w:p>
            <w:r>
              <w:t>3,0 (meta)</w:t>
            </w:r>
          </w:p>
        </w:tc>
      </w:tr>
    </w:tbl>
    <w:p>
      <w:r>
        <w:t>Metas marcadas como (meta) por serem projetadas, nao medidas. Revisao semanal pelo lider nos primeiros 2 meses.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