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Ergonomia e Pausas no Trabalho Remoto: setup, micro-pausas e movimento</w:t>
      </w:r>
    </w:p>
    <w:p>
      <w:pPr>
        <w:jc w:val="center"/>
      </w:pPr>
      <w:r>
        <w:rPr>
          <w:color w:val="6B7A8A"/>
          <w:sz w:val="24"/>
        </w:rPr>
        <w:t>Documento Tecnico de PDI</w:t>
      </w:r>
    </w:p>
    <w:p>
      <w:pPr>
        <w:jc w:val="center"/>
      </w:pPr>
      <w:r>
        <w:rPr>
          <w:color w:val="495560"/>
          <w:sz w:val="22"/>
        </w:rPr>
        <w:t>Autor: Marcos Luciano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Setembro 2026</w:t>
        <w:br/>
      </w:r>
      <w:r>
        <w:rPr>
          <w:color w:val="495560"/>
          <w:sz w:val="22"/>
        </w:rPr>
        <w:t>Area: Automação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O trabalho remoto prolongado em setup improvisado gera dor cervical, lombar e fadiga visual, além de jornadas sem pausa que derrubam a atenção da tarde. A OMS registra 1,71 bilhão de pessoas com condições musculoesqueléticas no mundo.</w:t>
      </w:r>
    </w:p>
    <w:p>
      <w:r>
        <w:t>Esta atividade define um padrão mínimo de estação de trabalho de baixo custo e um protocolo de micro-pausas e movimento que cabe na jornada real, sem academia e sem equipamento caro.</w:t>
      </w:r>
    </w:p>
    <w:p>
      <w:pPr>
        <w:pStyle w:val="Heading2"/>
      </w:pPr>
      <w:r>
        <w:rPr>
          <w:color w:val="8B1E1E"/>
        </w:rPr>
        <w:t>2. Diagnóstico</w:t>
      </w:r>
    </w:p>
    <w:p>
      <w:pPr>
        <w:pStyle w:val="ListBullet"/>
      </w:pPr>
      <w:r>
        <w:t>Setup improvisado: tela baixa, punho dobrado e luz com reflexo por 8 horas diárias.</w:t>
      </w:r>
    </w:p>
    <w:p>
      <w:pPr>
        <w:pStyle w:val="ListBullet"/>
      </w:pPr>
      <w:r>
        <w:t>Jornada sem pausa: rigidez postural acumula por tempo contínuo parado.</w:t>
      </w:r>
    </w:p>
    <w:p>
      <w:pPr>
        <w:pStyle w:val="ListBullet"/>
      </w:pPr>
      <w:r>
        <w:t>Sem medição: ninguém sabe quantas pausas faz nem como evolui a dor.</w:t>
      </w:r>
    </w:p>
    <w:p>
      <w:pPr>
        <w:pStyle w:val="Heading2"/>
      </w:pPr>
      <w:r>
        <w:rPr>
          <w:color w:val="8B1E1E"/>
        </w:rPr>
        <w:t>3. Solução</w:t>
      </w:r>
    </w:p>
    <w:p>
      <w:pPr>
        <w:pStyle w:val="ListBullet"/>
      </w:pPr>
      <w:r>
        <w:t>Padrão de 6 ajustes obrigatórios de custo baixo ou zero, com regra para uso de notebook.</w:t>
      </w:r>
    </w:p>
    <w:p>
      <w:pPr>
        <w:pStyle w:val="ListBullet"/>
      </w:pPr>
      <w:r>
        <w:t>Protocolo de pausas: micro 2 min por hora, regra 20-20-20, movimento 10 min por turno e almoço real longe da tela.</w:t>
      </w:r>
    </w:p>
    <w:p>
      <w:pPr>
        <w:pStyle w:val="ListBullet"/>
      </w:pPr>
      <w:r>
        <w:t>Checklist de 20 itens com reavaliação quinzenal e plano diário de pausas.</w:t>
      </w:r>
    </w:p>
    <w:p>
      <w:pPr>
        <w:pStyle w:val="Heading2"/>
      </w:pPr>
      <w:r>
        <w:rPr>
          <w:color w:val="8B1E1E"/>
        </w:rPr>
        <w:t>4. Como funciona</w:t>
      </w:r>
    </w:p>
    <w:p>
      <w:r>
        <w:t>AUDITAR o setup com o checklist, CORRIGIR os 3 itens de maior impacto na primeira semana, AGENDAR as pausas com timer visível, SINALIZAR com a regra 20-20-20 e REAVALIAR dor (0 a 10) e energia a cada 2 semanas.</w:t>
      </w:r>
    </w:p>
    <w:p>
      <w:pPr>
        <w:pStyle w:val="Heading2"/>
      </w:pPr>
      <w:r>
        <w:rPr>
          <w:color w:val="8B1E1E"/>
        </w:rPr>
        <w:t>5. Entregas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Arquivo</w:t>
            </w:r>
          </w:p>
        </w:tc>
        <w:tc>
          <w:tcPr>
            <w:tcW w:type="dxa" w:w="4419"/>
          </w:tcPr>
          <w:p>
            <w:r>
              <w:t>Conteúdo</w:t>
            </w:r>
          </w:p>
        </w:tc>
      </w:tr>
      <w:tr>
        <w:tc>
          <w:tcPr>
            <w:tcW w:type="dxa" w:w="4419"/>
          </w:tcPr>
          <w:p>
            <w:r>
              <w:t>1-standards/01-padrao-estacao-trabalho.md</w:t>
            </w:r>
          </w:p>
        </w:tc>
        <w:tc>
          <w:tcPr>
            <w:tcW w:type="dxa" w:w="4419"/>
          </w:tcPr>
          <w:p>
            <w:r>
              <w:t>6 ajustes obrigatórios e regra do notebook</w:t>
            </w:r>
          </w:p>
        </w:tc>
      </w:tr>
      <w:tr>
        <w:tc>
          <w:tcPr>
            <w:tcW w:type="dxa" w:w="4419"/>
          </w:tcPr>
          <w:p>
            <w:r>
              <w:t>1-standards/02-protocolo-pausas-movimento.md</w:t>
            </w:r>
          </w:p>
        </w:tc>
        <w:tc>
          <w:tcPr>
            <w:tcW w:type="dxa" w:w="4419"/>
          </w:tcPr>
          <w:p>
            <w:r>
              <w:t>Estrutura de pausas e sequência de 10 minutos</w:t>
            </w:r>
          </w:p>
        </w:tc>
      </w:tr>
      <w:tr>
        <w:tc>
          <w:tcPr>
            <w:tcW w:type="dxa" w:w="4419"/>
          </w:tcPr>
          <w:p>
            <w:r>
              <w:t>2-implementacao/checklist-ergonomico.md</w:t>
            </w:r>
          </w:p>
        </w:tc>
        <w:tc>
          <w:tcPr>
            <w:tcW w:type="dxa" w:w="4419"/>
          </w:tcPr>
          <w:p>
            <w:r>
              <w:t>Checklist de 20 itens com nota de dor</w:t>
            </w:r>
          </w:p>
        </w:tc>
      </w:tr>
      <w:tr>
        <w:tc>
          <w:tcPr>
            <w:tcW w:type="dxa" w:w="4419"/>
          </w:tcPr>
          <w:p>
            <w:r>
              <w:t>2-implementacao/plano-pausas-diario.md</w:t>
            </w:r>
          </w:p>
        </w:tc>
        <w:tc>
          <w:tcPr>
            <w:tcW w:type="dxa" w:w="4419"/>
          </w:tcPr>
          <w:p>
            <w:r>
              <w:t>Plano diário de pausas com fechamento</w:t>
            </w:r>
          </w:p>
        </w:tc>
      </w:tr>
      <w:tr>
        <w:tc>
          <w:tcPr>
            <w:tcW w:type="dxa" w:w="4419"/>
          </w:tcPr>
          <w:p>
            <w:r>
              <w:t>7-apresentacao/DECK-PDI.md</w:t>
            </w:r>
          </w:p>
        </w:tc>
        <w:tc>
          <w:tcPr>
            <w:tcW w:type="dxa" w:w="4419"/>
          </w:tcPr>
          <w:p>
            <w:r>
              <w:t>Deck de 14 slides</w:t>
            </w:r>
          </w:p>
        </w:tc>
      </w:tr>
      <w:tr>
        <w:tc>
          <w:tcPr>
            <w:tcW w:type="dxa" w:w="4419"/>
          </w:tcPr>
          <w:p>
            <w:r>
              <w:t>7-apresentacao/DEMO-SCRIPT.md</w:t>
            </w:r>
          </w:p>
        </w:tc>
        <w:tc>
          <w:tcPr>
            <w:tcW w:type="dxa" w:w="4419"/>
          </w:tcPr>
          <w:p>
            <w:r>
              <w:t>Roteiro de demonstração de 8 minutos</w:t>
            </w:r>
          </w:p>
        </w:tc>
      </w:tr>
      <w:tr>
        <w:tc>
          <w:tcPr>
            <w:tcW w:type="dxa" w:w="4419"/>
          </w:tcPr>
          <w:p>
            <w:r>
              <w:t>7-apresentacao/ROTEIRO-DOMINIO.md</w:t>
            </w:r>
          </w:p>
        </w:tc>
        <w:tc>
          <w:tcPr>
            <w:tcW w:type="dxa" w:w="4419"/>
          </w:tcPr>
          <w:p>
            <w:r>
              <w:t>5 perguntas e respostas de domínio</w:t>
            </w:r>
          </w:p>
        </w:tc>
      </w:tr>
    </w:tbl>
    <w:p>
      <w:pPr>
        <w:pStyle w:val="Heading2"/>
      </w:pPr>
      <w:r>
        <w:rPr>
          <w:color w:val="8B1E1E"/>
        </w:rPr>
        <w:t>6.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Itens conformes no checklist (20)</w:t>
            </w:r>
          </w:p>
        </w:tc>
        <w:tc>
          <w:tcPr>
            <w:tcW w:type="dxa" w:w="2946"/>
          </w:tcPr>
          <w:p>
            <w:r>
              <w:t>sem dado</w:t>
            </w:r>
          </w:p>
        </w:tc>
        <w:tc>
          <w:tcPr>
            <w:tcW w:type="dxa" w:w="2946"/>
          </w:tcPr>
          <w:p>
            <w:r>
              <w:t>17 de 20 (meta)</w:t>
            </w:r>
          </w:p>
        </w:tc>
      </w:tr>
      <w:tr>
        <w:tc>
          <w:tcPr>
            <w:tcW w:type="dxa" w:w="2946"/>
          </w:tcPr>
          <w:p>
            <w:r>
              <w:t>Dor cervical e lombar ao fim do dia (0 a 10)</w:t>
            </w:r>
          </w:p>
        </w:tc>
        <w:tc>
          <w:tcPr>
            <w:tcW w:type="dxa" w:w="2946"/>
          </w:tcPr>
          <w:p>
            <w:r>
              <w:t>sem dado</w:t>
            </w:r>
          </w:p>
        </w:tc>
        <w:tc>
          <w:tcPr>
            <w:tcW w:type="dxa" w:w="2946"/>
          </w:tcPr>
          <w:p>
            <w:r>
              <w:t>3 ou menos (meta)</w:t>
            </w:r>
          </w:p>
        </w:tc>
      </w:tr>
      <w:tr>
        <w:tc>
          <w:tcPr>
            <w:tcW w:type="dxa" w:w="2946"/>
          </w:tcPr>
          <w:p>
            <w:r>
              <w:t>Pausas de movimento por dia</w:t>
            </w:r>
          </w:p>
        </w:tc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4 (meta)</w:t>
            </w:r>
          </w:p>
        </w:tc>
      </w:tr>
    </w:tbl>
    <w:p>
      <w:pPr>
        <w:pStyle w:val="Heading2"/>
      </w:pPr>
      <w:r>
        <w:rPr>
          <w:color w:val="8B1E1E"/>
        </w:rPr>
        <w:t>7. Referências e status</w:t>
      </w:r>
    </w:p>
    <w:p>
      <w:pPr>
        <w:pStyle w:val="ListBullet"/>
      </w:pPr>
      <w:r>
        <w:t>Curso: catálogo de cursos de ergonomia, Udemy: https://www.udemy.com/courses/search/?q=ergonomia</w:t>
      </w:r>
    </w:p>
    <w:p>
      <w:pPr>
        <w:pStyle w:val="ListBullet"/>
      </w:pPr>
      <w:r>
        <w:t>Vídeo: Daniel Levitin, How to stay calm when you know you will be stressed, TED: https://www.youtube.com/watch?v=8jPQjjsBbIc</w:t>
      </w:r>
    </w:p>
    <w:p>
      <w:pPr>
        <w:pStyle w:val="ListBullet"/>
      </w:pPr>
      <w:r>
        <w:t>Doc: OMS, condições musculoesqueléticas: https://www.who.int/news-room/fact-sheets/detail/musculoskeletal-conditions</w:t>
      </w:r>
    </w:p>
    <w:p>
      <w:pPr>
        <w:pStyle w:val="ListBullet"/>
      </w:pPr>
      <w:r>
        <w:t>Doc: HSE Reino Unido, distúrbios musculoesqueléticos: https://www.hse.gov.uk/msd/</w:t>
      </w:r>
    </w:p>
    <w:p>
      <w:r>
        <w:t>Status: Entregue (desenvolvido, homologação pendente). Próximo passo: aplicar o checklist e rodar 10 dias de pausas com nota de dor.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