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right"/>
      </w:pPr>
      <w:r>
        <w:rPr>
          <w:color w:val="64748B"/>
          <w:sz w:val="20"/>
          <w:szCs w:val="20"/>
        </w:rPr>
        <w:t xml:space="preserve">XG-DOC-004</w:t>
      </w:r>
    </w:p>
    <w:p>
      <w:pPr>
        <w:spacing w:after="150"/>
        <w:jc w:val="center"/>
      </w:pPr>
      <w:r>
        <w:rPr>
          <w:b/>
          <w:bCs/>
          <w:color w:val="0F172A"/>
          <w:sz w:val="56"/>
          <w:szCs w:val="56"/>
        </w:rPr>
        <w:t xml:space="preserve">Performance Metrics Guide</w:t>
      </w:r>
    </w:p>
    <w:p>
      <w:pPr>
        <w:spacing w:after="400"/>
        <w:jc w:val="center"/>
      </w:pPr>
      <w:r>
        <w:rPr>
          <w:color w:val="059669"/>
          <w:sz w:val="26"/>
          <w:szCs w:val="26"/>
        </w:rPr>
        <w:t xml:space="preserve">KPIs, Benchmarks &amp; Action Thresholds</w:t>
      </w:r>
    </w:p>
    <w:p>
      <w:pPr>
        <w:pStyle w:val="Heading1"/>
      </w:pPr>
      <w:r>
        <w:t xml:space="preserve">Executive Summary</w:t>
      </w:r>
    </w:p>
    <w:p>
      <w:pPr>
        <w:spacing w:after="200"/>
      </w:pPr>
      <w:r>
        <w:rPr>
          <w:color w:val="475569"/>
          <w:sz w:val="24"/>
          <w:szCs w:val="24"/>
        </w:rPr>
        <w:t xml:space="preserve">This document defines all key performance indicators used by XGrowthOS, industry benchmarks from 2024-2025 research, and action thresholds for campaign optimization. Understanding these metrics is essential for interpreting your weekly reports and making informed decisions about your outbound strategy.</w:t>
      </w:r>
    </w:p>
    <w:p>
      <w:pPr>
        <w:spacing w:after="200"/>
      </w:pPr>
      <w:r>
        <w:rPr>
          <w:color w:val="475569"/>
          <w:sz w:val="24"/>
          <w:szCs w:val="24"/>
        </w:rPr>
        <w:t xml:space="preserve">The benchmarks presented in this guide are derived from extensive industry research, including the Belkins 2024 Study analyzing sixteen point five million emails, Martal 2025 Cold Email Benchmarks, Instantly 2025 Deliverability Guide, Digital Bloom 2025 Hook Analysis, LevelUp Leads 2025 B2B Research, and Gmail 2025 Bulk Sender Requirements.</w:t>
      </w:r>
    </w:p>
    <w:p>
      <w:pPr>
        <w:pStyle w:val="Heading1"/>
      </w:pPr>
      <w:r>
        <w:t xml:space="preserve">Core Performance Metrics</w:t>
      </w:r>
    </w:p>
    <w:p>
      <w:pPr>
        <w:pStyle w:val="Heading2"/>
      </w:pPr>
      <w:r>
        <w:t xml:space="preserve">Deliverability Metrics</w:t>
      </w:r>
    </w:p>
    <w:p>
      <w:pPr>
        <w:spacing w:after="200"/>
      </w:pPr>
      <w:r>
        <w:rPr>
          <w:color w:val="475569"/>
          <w:sz w:val="24"/>
          <w:szCs w:val="24"/>
        </w:rPr>
        <w:t xml:space="preserve">Deliverability metrics measure your ability to reach your prospects' inboxes. These metrics form the foundation of successful cold email campaigns, as even the best copy cannot perform if emails never reach their destination.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Metric</w:t>
            </w:r>
          </w:p>
        </w:tc>
        <w:tc>
          <w:tcPr>
            <w:tcW w:type="dxa" w:w="28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Definition</w:t>
            </w:r>
          </w:p>
        </w:tc>
        <w:tc>
          <w:tcPr>
            <w:tcW w:type="dxa" w:w="188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Industry Avg</w:t>
            </w:r>
          </w:p>
        </w:tc>
        <w:tc>
          <w:tcPr>
            <w:tcW w:type="dxa" w:w="188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Target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Inbox Placement</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Emails landing in primary inbox</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85%</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059669"/>
                <w:sz w:val="22"/>
                <w:szCs w:val="22"/>
              </w:rPr>
              <w:t xml:space="preserve">&gt;95%</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Bounce Rate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Emails failing to deliver</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2%</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059669"/>
                <w:sz w:val="22"/>
                <w:szCs w:val="22"/>
              </w:rPr>
              <w:t xml:space="preserve">&lt;1%</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Spam Complaint Rate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Emails marked as spam</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0.1%</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059669"/>
                <w:sz w:val="22"/>
                <w:szCs w:val="22"/>
              </w:rPr>
              <w:t xml:space="preserve">&lt;0.05%</w:t>
            </w:r>
          </w:p>
        </w:tc>
      </w:tr>
    </w:tbl>
    <w:p>
      <w:pPr>
        <w:spacing w:after="300"/>
      </w:pPr>
    </w:p>
    <w:p>
      <w:pPr>
        <w:pStyle w:val="Heading2"/>
      </w:pPr>
      <w:r>
        <w:t xml:space="preserve">Engagement Metrics</w:t>
      </w:r>
    </w:p>
    <w:p>
      <w:pPr>
        <w:spacing w:after="200"/>
      </w:pPr>
      <w:r>
        <w:rPr>
          <w:color w:val="475569"/>
          <w:sz w:val="24"/>
          <w:szCs w:val="24"/>
        </w:rPr>
        <w:t xml:space="preserve">Engagement metrics measure how prospects interact with your emails. These metrics indicate the effectiveness of your subject lines, messaging, and targeting.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Metric</w:t>
            </w:r>
          </w:p>
        </w:tc>
        <w:tc>
          <w:tcPr>
            <w:tcW w:type="dxa" w:w="28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Definition</w:t>
            </w:r>
          </w:p>
        </w:tc>
        <w:tc>
          <w:tcPr>
            <w:tcW w:type="dxa" w:w="188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Industry Avg</w:t>
            </w:r>
          </w:p>
        </w:tc>
        <w:tc>
          <w:tcPr>
            <w:tcW w:type="dxa" w:w="188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Target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Open Rate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Emails opened (unique)</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27.7%</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059669"/>
                <w:sz w:val="22"/>
                <w:szCs w:val="22"/>
              </w:rPr>
              <w:t xml:space="preserve">&gt;40%</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Reply Rate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Emails receiving replies</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5.1%</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059669"/>
                <w:sz w:val="22"/>
                <w:szCs w:val="22"/>
              </w:rPr>
              <w:t xml:space="preserve">&gt;8%</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Positive Reply Rate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Replies that are positive</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~50%</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059669"/>
                <w:sz w:val="22"/>
                <w:szCs w:val="22"/>
              </w:rPr>
              <w:t xml:space="preserve">&gt;60%</w:t>
            </w:r>
          </w:p>
        </w:tc>
      </w:tr>
    </w:tbl>
    <w:p>
      <w:pPr>
        <w:spacing w:after="300"/>
      </w:pPr>
    </w:p>
    <w:p>
      <w:pPr>
        <w:pStyle w:val="Heading2"/>
      </w:pPr>
      <w:r>
        <w:t xml:space="preserve">Conversion Metrics</w:t>
      </w:r>
    </w:p>
    <w:p>
      <w:pPr>
        <w:spacing w:after="200"/>
      </w:pPr>
      <w:r>
        <w:rPr>
          <w:color w:val="475569"/>
          <w:sz w:val="24"/>
          <w:szCs w:val="24"/>
        </w:rPr>
        <w:t xml:space="preserve">Conversion metrics measure the ultimate business outcomes of your campaigns—turning prospects into meetings and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Metric</w:t>
            </w:r>
          </w:p>
        </w:tc>
        <w:tc>
          <w:tcPr>
            <w:tcW w:type="dxa" w:w="28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Definition</w:t>
            </w:r>
          </w:p>
        </w:tc>
        <w:tc>
          <w:tcPr>
            <w:tcW w:type="dxa" w:w="188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Industry Avg</w:t>
            </w:r>
          </w:p>
        </w:tc>
        <w:tc>
          <w:tcPr>
            <w:tcW w:type="dxa" w:w="188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Target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Meeting Book Rate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Sends resulting in meetings</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1%</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059669"/>
                <w:sz w:val="22"/>
                <w:szCs w:val="22"/>
              </w:rPr>
              <w:t xml:space="preserve">&gt;2%</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Meeting Show Rate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Booked meetings attended</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80%</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059669"/>
                <w:sz w:val="22"/>
                <w:szCs w:val="22"/>
              </w:rPr>
              <w:t xml:space="preserve">&gt;90%</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Cost Per Meeting</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Total cost divided by meetings</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$300-$500</w:t>
            </w:r>
          </w:p>
        </w:tc>
        <w:tc>
          <w:tcPr>
            <w:tcW w:type="dxa" w:w="1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059669"/>
                <w:sz w:val="22"/>
                <w:szCs w:val="22"/>
              </w:rPr>
              <w:t xml:space="preserve">&lt;$400</w:t>
            </w:r>
          </w:p>
        </w:tc>
      </w:tr>
    </w:tbl>
    <w:p>
      <w:r>
        <w:br w:type="page"/>
      </w:r>
    </w:p>
    <w:p>
      <w:pPr>
        <w:pStyle w:val="Heading1"/>
      </w:pPr>
      <w:r>
        <w:t xml:space="preserve">Action Thresholds</w:t>
      </w:r>
    </w:p>
    <w:p>
      <w:pPr>
        <w:spacing w:after="200"/>
      </w:pPr>
      <w:r>
        <w:rPr>
          <w:color w:val="475569"/>
          <w:sz w:val="24"/>
          <w:szCs w:val="24"/>
        </w:rPr>
        <w:t xml:space="preserve">XGrowthOS uses a three-tier system to categorize campaign performance: KEEP indicates the campaign is performing well and should continue, WATCH indicates the campaign needs attention and optimization, and PULL indicates the campaign should be paused or significantly revised.</w:t>
      </w:r>
    </w:p>
    <w:p>
      <w:pPr>
        <w:pStyle w:val="Heading2"/>
      </w:pPr>
      <w:r>
        <w:t xml:space="preserve">Campaign-Level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Metric</w:t>
            </w:r>
          </w:p>
        </w:tc>
        <w:tc>
          <w:tcPr>
            <w:tcW w:type="dxa" w:w="234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KEEP (Green)</w:t>
            </w:r>
          </w:p>
        </w:tc>
        <w:tc>
          <w:tcPr>
            <w:tcW w:type="dxa" w:w="234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WATCH (Yellow)</w:t>
            </w:r>
          </w:p>
        </w:tc>
        <w:tc>
          <w:tcPr>
            <w:tcW w:type="dxa" w:w="234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PULL (Red)</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Reply Rate</w:t>
            </w:r>
          </w:p>
        </w:tc>
        <w:tc>
          <w:tcPr>
            <w:tcW w:type="dxa" w:w="234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color w:val="475569"/>
                <w:sz w:val="22"/>
                <w:szCs w:val="22"/>
              </w:rPr>
              <w:t xml:space="preserve">&gt;8%</w:t>
            </w:r>
          </w:p>
        </w:tc>
        <w:tc>
          <w:tcPr>
            <w:tcW w:type="dxa" w:w="234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color w:val="475569"/>
                <w:sz w:val="22"/>
                <w:szCs w:val="22"/>
              </w:rPr>
              <w:t xml:space="preserve">5-8%</w:t>
            </w:r>
          </w:p>
        </w:tc>
        <w:tc>
          <w:tcPr>
            <w:tcW w:type="dxa" w:w="234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jc w:val="center"/>
            </w:pPr>
            <w:r>
              <w:rPr>
                <w:color w:val="475569"/>
                <w:sz w:val="22"/>
                <w:szCs w:val="22"/>
              </w:rPr>
              <w:t xml:space="preserve">&lt;3%</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Open Rate</w:t>
            </w:r>
          </w:p>
        </w:tc>
        <w:tc>
          <w:tcPr>
            <w:tcW w:type="dxa" w:w="234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color w:val="475569"/>
                <w:sz w:val="22"/>
                <w:szCs w:val="22"/>
              </w:rPr>
              <w:t xml:space="preserve">&gt;40%</w:t>
            </w:r>
          </w:p>
        </w:tc>
        <w:tc>
          <w:tcPr>
            <w:tcW w:type="dxa" w:w="234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color w:val="475569"/>
                <w:sz w:val="22"/>
                <w:szCs w:val="22"/>
              </w:rPr>
              <w:t xml:space="preserve">30-40%</w:t>
            </w:r>
          </w:p>
        </w:tc>
        <w:tc>
          <w:tcPr>
            <w:tcW w:type="dxa" w:w="234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jc w:val="center"/>
            </w:pPr>
            <w:r>
              <w:rPr>
                <w:color w:val="475569"/>
                <w:sz w:val="22"/>
                <w:szCs w:val="22"/>
              </w:rPr>
              <w:t xml:space="preserve">&lt;20%</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Bounce Rate</w:t>
            </w:r>
          </w:p>
        </w:tc>
        <w:tc>
          <w:tcPr>
            <w:tcW w:type="dxa" w:w="234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color w:val="475569"/>
                <w:sz w:val="22"/>
                <w:szCs w:val="22"/>
              </w:rPr>
              <w:t xml:space="preserve">&lt;1%</w:t>
            </w:r>
          </w:p>
        </w:tc>
        <w:tc>
          <w:tcPr>
            <w:tcW w:type="dxa" w:w="234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color w:val="475569"/>
                <w:sz w:val="22"/>
                <w:szCs w:val="22"/>
              </w:rPr>
              <w:t xml:space="preserve">1-2%</w:t>
            </w:r>
          </w:p>
        </w:tc>
        <w:tc>
          <w:tcPr>
            <w:tcW w:type="dxa" w:w="234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jc w:val="center"/>
            </w:pPr>
            <w:r>
              <w:rPr>
                <w:color w:val="475569"/>
                <w:sz w:val="22"/>
                <w:szCs w:val="22"/>
              </w:rPr>
              <w:t xml:space="preserve">&gt;3%</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Spam Complaints</w:t>
            </w:r>
          </w:p>
        </w:tc>
        <w:tc>
          <w:tcPr>
            <w:tcW w:type="dxa" w:w="234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color w:val="475569"/>
                <w:sz w:val="22"/>
                <w:szCs w:val="22"/>
              </w:rPr>
              <w:t xml:space="preserve">&lt;0.05%</w:t>
            </w:r>
          </w:p>
        </w:tc>
        <w:tc>
          <w:tcPr>
            <w:tcW w:type="dxa" w:w="234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color w:val="475569"/>
                <w:sz w:val="22"/>
                <w:szCs w:val="22"/>
              </w:rPr>
              <w:t xml:space="preserve">0.05-0.1%</w:t>
            </w:r>
          </w:p>
        </w:tc>
        <w:tc>
          <w:tcPr>
            <w:tcW w:type="dxa" w:w="234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jc w:val="center"/>
            </w:pPr>
            <w:r>
              <w:rPr>
                <w:color w:val="475569"/>
                <w:sz w:val="22"/>
                <w:szCs w:val="22"/>
              </w:rPr>
              <w:t xml:space="preserve">&gt;0.1%</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Meeting Book Rate</w:t>
            </w:r>
          </w:p>
        </w:tc>
        <w:tc>
          <w:tcPr>
            <w:tcW w:type="dxa" w:w="234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color w:val="475569"/>
                <w:sz w:val="22"/>
                <w:szCs w:val="22"/>
              </w:rPr>
              <w:t xml:space="preserve">&gt;2%</w:t>
            </w:r>
          </w:p>
        </w:tc>
        <w:tc>
          <w:tcPr>
            <w:tcW w:type="dxa" w:w="234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color w:val="475569"/>
                <w:sz w:val="22"/>
                <w:szCs w:val="22"/>
              </w:rPr>
              <w:t xml:space="preserve">1-2%</w:t>
            </w:r>
          </w:p>
        </w:tc>
        <w:tc>
          <w:tcPr>
            <w:tcW w:type="dxa" w:w="234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jc w:val="center"/>
            </w:pPr>
            <w:r>
              <w:rPr>
                <w:color w:val="475569"/>
                <w:sz w:val="22"/>
                <w:szCs w:val="22"/>
              </w:rPr>
              <w:t xml:space="preserve">&lt;0.5%</w:t>
            </w:r>
          </w:p>
        </w:tc>
      </w:tr>
    </w:tbl>
    <w:p>
      <w:pPr>
        <w:spacing w:after="300"/>
      </w:pPr>
    </w:p>
    <w:p>
      <w:pPr>
        <w:pStyle w:val="Heading1"/>
      </w:pPr>
      <w:r>
        <w:t xml:space="preserve">Email Copy Performance Insights</w:t>
      </w:r>
    </w:p>
    <w:p>
      <w:pPr>
        <w:spacing w:after="200"/>
      </w:pPr>
      <w:r>
        <w:rPr>
          <w:color w:val="475569"/>
          <w:sz w:val="24"/>
          <w:szCs w:val="24"/>
        </w:rPr>
        <w:t xml:space="preserve">Based on Digital Bloom 2025 research analyzing millions of cold emails, different hook types produce significantly different results. Understanding these patterns helps The Architect optimize your campaigns.</w:t>
      </w:r>
    </w:p>
    <w:p>
      <w:pPr>
        <w:pStyle w:val="Heading2"/>
      </w:pPr>
      <w:r>
        <w:t xml:space="preserve">Hook Type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Hook Type</w:t>
            </w:r>
          </w:p>
        </w:tc>
        <w:tc>
          <w:tcPr>
            <w:tcW w:type="dxa" w:w="234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Avg Reply Rate</w:t>
            </w:r>
          </w:p>
        </w:tc>
        <w:tc>
          <w:tcPr>
            <w:tcW w:type="dxa" w:w="390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Best Use Case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Timeline Hooks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059669"/>
                <w:sz w:val="22"/>
                <w:szCs w:val="22"/>
              </w:rPr>
              <w:t xml:space="preserve">10.01%</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Urgency-based outreach</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Numbers Hooks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6.90%</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Data-driven prospects</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Social Proof Hooks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5.72%</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Enterprise/risk-averse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Question Hooks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5.22%</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Engagement-focused</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Problem Hooks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4.39%</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Pain point targeting</w:t>
            </w:r>
          </w:p>
        </w:tc>
      </w:tr>
    </w:tbl>
    <w:p>
      <w:pPr>
        <w:spacing w:after="200"/>
      </w:pPr>
    </w:p>
    <w:p>
      <w:pPr>
        <w:spacing w:after="200"/>
      </w:pPr>
      <w:r>
        <w:rPr>
          <w:color w:val="475569"/>
          <w:sz w:val="24"/>
          <w:szCs w:val="24"/>
        </w:rPr>
        <w:t xml:space="preserve">The key insight from this data is that timeline hooks outperform problem hooks by more than two times. This means messaging that creates urgency or references specific timeframes typically generates significantly more responses than messaging focused solely on pain points.</w:t>
      </w:r>
    </w:p>
    <w:p>
      <w:r>
        <w:br w:type="page"/>
      </w:r>
    </w:p>
    <w:p>
      <w:pPr>
        <w:pStyle w:val="Heading1"/>
      </w:pPr>
      <w:r>
        <w:t xml:space="preserve">Timing Optimization</w:t>
      </w:r>
    </w:p>
    <w:p>
      <w:pPr>
        <w:spacing w:after="200"/>
      </w:pPr>
      <w:r>
        <w:rPr>
          <w:color w:val="475569"/>
          <w:sz w:val="24"/>
          <w:szCs w:val="24"/>
        </w:rPr>
        <w:t xml:space="preserve">Research consistently shows that send timing significantly impacts campaign performance. The following represents optimal send times based on 2024-2025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Day</w:t>
            </w:r>
          </w:p>
        </w:tc>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Optimal Send Time</w:t>
            </w:r>
          </w:p>
        </w:tc>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Performance Lift</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Tuesday</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9-11 AM local</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059669"/>
                <w:sz w:val="22"/>
                <w:szCs w:val="22"/>
              </w:rPr>
              <w:t xml:space="preserve">+15% vs average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Wednesday</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9-11 AM local</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059669"/>
                <w:sz w:val="22"/>
                <w:szCs w:val="22"/>
              </w:rPr>
              <w:t xml:space="preserve">+12% vs average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Thursday</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10 AM - 12 PM local</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+10% vs average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Monday</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10-11 AM local</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+5% vs average</w:t>
            </w:r>
          </w:p>
        </w:tc>
      </w:tr>
    </w:tbl>
    <w:p>
      <w:pPr>
        <w:spacing w:after="200"/>
      </w:pPr>
    </w:p>
    <w:p>
      <w:pPr>
        <w:spacing w:after="200"/>
      </w:pPr>
      <w:r>
        <w:rPr>
          <w:color w:val="475569"/>
          <w:sz w:val="24"/>
          <w:szCs w:val="24"/>
        </w:rPr>
        <w:t xml:space="preserve">An important insight regarding response timing: ninety-five percent of replies come within forty-eight hours of send. This means if you have not received a response within two days of your email, you are unlikely to receive one from that particular send.</w:t>
      </w:r>
    </w:p>
    <w:p>
      <w:pPr>
        <w:pStyle w:val="Heading1"/>
      </w:pPr>
      <w:r>
        <w:t xml:space="preserve">Performance Guarantee Thresholds</w:t>
      </w:r>
    </w:p>
    <w:p>
      <w:pPr>
        <w:spacing w:after="200"/>
      </w:pPr>
      <w:r>
        <w:rPr>
          <w:color w:val="475569"/>
          <w:sz w:val="24"/>
          <w:szCs w:val="24"/>
        </w:rPr>
        <w:t xml:space="preserve">XGrowthOS guarantees minimum performance standards. If these minimums are not met, remediation protocols are triggered automatically.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Metric</w:t>
            </w:r>
          </w:p>
        </w:tc>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Guaranteed Minimum</w:t>
            </w:r>
          </w:p>
        </w:tc>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Measurement Period</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Reply Rate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3%</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Rolling 30 days</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Deliverability</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95%</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Rolling 7 days</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Bounce Rate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Below 3%</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Rolling 7 days</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Spam Complaints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Below 0.1%</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color w:val="475569"/>
                <w:sz w:val="22"/>
                <w:szCs w:val="22"/>
              </w:rPr>
              <w:t xml:space="preserve">Rolling 7 days</w:t>
            </w:r>
          </w:p>
        </w:tc>
      </w:tr>
    </w:tbl>
    <w:p>
      <w:pPr>
        <w:spacing w:after="200"/>
      </w:pPr>
    </w:p>
    <w:p>
      <w:pPr>
        <w:spacing w:after="200"/>
      </w:pPr>
      <w:r>
        <w:rPr>
          <w:color w:val="475569"/>
          <w:sz w:val="24"/>
          <w:szCs w:val="24"/>
        </w:rPr>
        <w:t xml:space="preserve">When performance falls below these thresholds, our team is automatically alerted and remediation protocols begin immediately. You will be notified of any issues within twenty-four hours along with our remediation plan.</w:t>
      </w:r>
    </w:p>
    <w:p>
      <w:pPr>
        <w:spacing w:before="400" w:after="200"/>
        <w:jc w:val="center"/>
      </w:pPr>
      <w:r>
        <w:rPr>
          <w:color w:val="E2E8F0"/>
        </w:rPr>
        <w:t xml:space="preserve">────────────────────────────────────────────────────────────</w:t>
      </w:r>
    </w:p>
    <w:p>
      <w:pPr>
        <w:jc w:val="center"/>
      </w:pPr>
      <w:r>
        <w:rPr>
          <w:b/>
          <w:bCs/>
          <w:color w:val="059669"/>
          <w:sz w:val="22"/>
          <w:szCs w:val="22"/>
        </w:rPr>
        <w:t xml:space="preserve">XGrowthOS</w:t>
      </w:r>
      <w:r>
        <w:rPr>
          <w:color w:val="64748B"/>
          <w:sz w:val="20"/>
          <w:szCs w:val="20"/>
        </w:rPr>
        <w:t xml:space="preserve">  •  Autonomous B2B Lead Generation Platform</w:t>
      </w:r>
    </w:p>
    <w:p>
      <w:pPr>
        <w:jc w:val="center"/>
      </w:pPr>
      <w:r>
        <w:rPr>
          <w:color w:val="64748B"/>
          <w:sz w:val="20"/>
          <w:szCs w:val="20"/>
        </w:rPr>
        <w:t xml:space="preserve">support@xgrowthos.com  •  xgrowthos.com</w:t>
      </w:r>
    </w:p>
    <w:p>
      <w:pPr>
        <w:jc w:val="center"/>
      </w:pPr>
      <w:r>
        <w:rPr>
          <w:i/>
          <w:iCs/>
          <w:color w:val="64748B"/>
          <w:sz w:val="18"/>
          <w:szCs w:val="18"/>
        </w:rPr>
        <w:t xml:space="preserve">Document Version 2.0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20"/>
        <w:szCs w:val="20"/>
      </w:rPr>
      <w:t xml:space="preserve">XGrowthOS</w:t>
    </w:r>
    <w:r>
      <w:rPr>
        <w:color w:val="64748B"/>
        <w:sz w:val="20"/>
        <w:szCs w:val="20"/>
      </w:rPr>
      <w:t xml:space="preserve">  |  Performance Metrics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0F172A"/>
      <w:sz w:val="48"/>
      <w:szCs w:val="48"/>
    </w:rPr>
  </w:style>
  <w:style w:type="paragraph" w:styleId="Heading2">
    <w:name w:val="Heading 2"/>
    <w:basedOn w:val="Normal"/>
    <w:next w:val="Normal"/>
    <w:qFormat/>
    <w:pPr>
      <w:spacing w:before="300" w:after="150"/>
    </w:pPr>
    <w:rPr>
      <w:b/>
      <w:bCs/>
      <w:color w:val="0F172A"/>
      <w:sz w:val="32"/>
      <w:szCs w:val="32"/>
    </w:rPr>
  </w:style>
  <w:style w:type="paragraph" w:styleId="Heading3">
    <w:name w:val="Heading 3"/>
    <w:basedOn w:val="Normal"/>
    <w:next w:val="Normal"/>
    <w:qFormat/>
    <w:pPr>
      <w:spacing w:before="240" w:after="120"/>
    </w:pPr>
    <w:rPr>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2026-01-24T03:05:24.610Z</dcterms:created>
  <dcterms:modified xsi:type="dcterms:W3CDTF">2026-01-24T03:05:24.610Z</dcterms:modified>
</cp:coreProperties>
</file>

<file path=docProps/custom.xml><?xml version="1.0" encoding="utf-8"?>
<Properties xmlns="http://schemas.openxmlformats.org/officeDocument/2006/custom-properties" xmlns:vt="http://schemas.openxmlformats.org/officeDocument/2006/docPropsVTypes"/>
</file>