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right"/>
      </w:pPr>
      <w:r>
        <w:rPr>
          <w:color w:val="64748B"/>
          <w:sz w:val="20"/>
          <w:szCs w:val="20"/>
        </w:rPr>
        <w:t xml:space="preserve">XG-DOC-013</w:t>
      </w:r>
    </w:p>
    <w:p>
      <w:pPr>
        <w:spacing w:after="150"/>
        <w:jc w:val="center"/>
      </w:pPr>
      <w:r>
        <w:rPr>
          <w:b/>
          <w:bCs/>
          <w:color w:val="0F172A"/>
          <w:sz w:val="56"/>
          <w:szCs w:val="56"/>
        </w:rPr>
        <w:t xml:space="preserve">Legal Review Checklist</w:t>
      </w:r>
    </w:p>
    <w:p>
      <w:pPr>
        <w:spacing w:after="400"/>
        <w:jc w:val="center"/>
      </w:pPr>
      <w:r>
        <w:rPr>
          <w:color w:val="059669"/>
          <w:sz w:val="26"/>
          <w:szCs w:val="26"/>
        </w:rPr>
        <w:t xml:space="preserve">Compliance &amp; Legal Verification</w:t>
      </w:r>
    </w:p>
    <w:p>
      <w:pPr>
        <w:spacing w:after="300"/>
        <w:jc w:val="center"/>
      </w:pPr>
      <w:r>
        <w:rPr>
          <w:b/>
          <w:bCs/>
          <w:color w:val="EF4444"/>
          <w:sz w:val="28"/>
          <w:szCs w:val="28"/>
        </w:rPr>
        <w:t xml:space="preserve">INTERNAL USE ONLY</w:t>
      </w:r>
    </w:p>
    <w:p>
      <w:pPr>
        <w:pStyle w:val="Heading1"/>
      </w:pPr>
      <w:r>
        <w:t xml:space="preserve">Purpose</w:t>
      </w:r>
    </w:p>
    <w:p>
      <w:pPr>
        <w:spacing w:after="200"/>
      </w:pPr>
      <w:r>
        <w:rPr>
          <w:color w:val="475569"/>
          <w:sz w:val="24"/>
          <w:szCs w:val="24"/>
        </w:rPr>
        <w:t xml:space="preserve">This checklist ensures all client engagements and campaigns meet legal and regulatory requirements. The checklist should be completed before launching any new client or campaign. Compliance is not optional—it protects both XGrowthOS and our clients from regulatory penalties, reputation damage, and deliverability issues.</w:t>
      </w:r>
    </w:p>
    <w:p>
      <w:pPr>
        <w:pStyle w:val="Heading1"/>
      </w:pPr>
      <w:r>
        <w:t xml:space="preserve">Section 1: Client Onboarding Legal Review</w:t>
      </w:r>
    </w:p>
    <w:p>
      <w:pPr>
        <w:pStyle w:val="Heading2"/>
      </w:pPr>
      <w:r>
        <w:t xml:space="preserve">Agreement Verification</w:t>
      </w:r>
    </w:p>
    <w:p>
      <w:pPr>
        <w:spacing w:after="200"/>
      </w:pPr>
      <w:r>
        <w:rPr>
          <w:color w:val="475569"/>
          <w:sz w:val="24"/>
          <w:szCs w:val="24"/>
        </w:rPr>
        <w:t xml:space="preserve">Pilot Service Agreement (XG-DOC-003): Verify that the agreement is fully executed by both parties, the effective date is clearly specified, the client company name and address are accurate, the authorized signatory is confirmed, all exhibits are attached including pricing and SLA, and a countersigned copy has been returned to the client.</w:t>
      </w:r>
    </w:p>
    <w:p>
      <w:pPr>
        <w:spacing w:after="200"/>
      </w:pPr>
      <w:r>
        <w:rPr>
          <w:color w:val="475569"/>
          <w:sz w:val="24"/>
          <w:szCs w:val="24"/>
        </w:rPr>
        <w:t xml:space="preserve">Mutual NDA (XG-DOC-012): Verify that the NDA is executed before sharing sensitive information, term and survival periods are noted, and the document is filed in the client folder.</w:t>
      </w:r>
    </w:p>
    <w:p>
      <w:pPr>
        <w:spacing w:after="200"/>
      </w:pPr>
      <w:r>
        <w:rPr>
          <w:color w:val="475569"/>
          <w:sz w:val="24"/>
          <w:szCs w:val="24"/>
        </w:rPr>
        <w:t xml:space="preserve">Data Processing Agreement (XG-DOC-022): Verify that the DPA is executed for clients targeting EU, UK, or California prospects, the sub-processors list is provided, data retention terms are specified, and the client has signed as Controller.</w:t>
      </w:r>
    </w:p>
    <w:p>
      <w:pPr>
        <w:pStyle w:val="Heading2"/>
      </w:pPr>
      <w:r>
        <w:t xml:space="preserve">Client Entity Verification</w:t>
      </w:r>
    </w:p>
    <w:p>
      <w:pPr>
        <w:spacing w:after="200"/>
      </w:pPr>
      <w:r>
        <w:rPr>
          <w:color w:val="475569"/>
          <w:sz w:val="24"/>
          <w:szCs w:val="24"/>
        </w:rPr>
        <w:t xml:space="preserve">Confirm the business entity type such as corporation, LLC, or other structure. Verify business registration. Confirm the authorized representative has signing authority. Verify the business address. Confirm the website matches business claims.</w:t>
      </w:r>
    </w:p>
    <w:p>
      <w:pPr>
        <w:pStyle w:val="Heading1"/>
      </w:pPr>
      <w:r>
        <w:t xml:space="preserve">Section 2: Email Compliance (CAN-SPAM)</w:t>
      </w:r>
    </w:p>
    <w:p>
      <w:pPr>
        <w:spacing w:after="200"/>
      </w:pPr>
      <w:r>
        <w:rPr>
          <w:color w:val="475569"/>
          <w:sz w:val="24"/>
          <w:szCs w:val="24"/>
        </w:rPr>
        <w:t xml:space="preserve">CAN-SPAM compliance is mandatory for all commercial email sent to US recipients. Violations can result in penalties of up to $51,744 per email.</w:t>
      </w:r>
    </w:p>
    <w:p>
      <w:pPr>
        <w:pStyle w:val="Heading2"/>
      </w:pPr>
      <w:r>
        <w:t xml:space="preserve">Sender Identification</w:t>
      </w:r>
    </w:p>
    <w:p>
      <w:pPr>
        <w:spacing w:after="200"/>
      </w:pPr>
      <w:r>
        <w:rPr>
          <w:color w:val="475569"/>
          <w:sz w:val="24"/>
          <w:szCs w:val="24"/>
        </w:rPr>
        <w:t xml:space="preserve">The From name must clearly identify the sender. The From email domain must match sender identity. The Reply-to address must be monitored. Header information must not be misleading.</w:t>
      </w:r>
    </w:p>
    <w:p>
      <w:pPr>
        <w:pStyle w:val="Heading2"/>
      </w:pPr>
      <w:r>
        <w:t xml:space="preserve">Subject Line Compliance</w:t>
      </w:r>
    </w:p>
    <w:p>
      <w:pPr>
        <w:spacing w:after="200"/>
      </w:pPr>
      <w:r>
        <w:rPr>
          <w:color w:val="475569"/>
          <w:sz w:val="24"/>
          <w:szCs w:val="24"/>
        </w:rPr>
        <w:t xml:space="preserve">Subject lines must accurately reflect content. No deceptive subject lines are permitted. No false urgency or misleading claims are allowed.</w:t>
      </w:r>
    </w:p>
    <w:p>
      <w:pPr>
        <w:pStyle w:val="Heading2"/>
      </w:pPr>
      <w:r>
        <w:t xml:space="preserve">Content Requirements</w:t>
      </w:r>
    </w:p>
    <w:p>
      <w:pPr>
        <w:spacing w:after="200"/>
      </w:pPr>
      <w:r>
        <w:rPr>
          <w:color w:val="475569"/>
          <w:sz w:val="24"/>
          <w:szCs w:val="24"/>
        </w:rPr>
        <w:t xml:space="preserve">A physical postal address must be included. Clear identification as advertisement is required if applicable. Content must not be false or misleading.</w:t>
      </w:r>
    </w:p>
    <w:p>
      <w:pPr>
        <w:pStyle w:val="Heading2"/>
      </w:pPr>
      <w:r>
        <w:t xml:space="preserve">Opt-Out Compliance</w:t>
      </w:r>
    </w:p>
    <w:p>
      <w:pPr>
        <w:spacing w:after="200"/>
      </w:pPr>
      <w:r>
        <w:rPr>
          <w:color w:val="475569"/>
          <w:sz w:val="24"/>
          <w:szCs w:val="24"/>
        </w:rPr>
        <w:t xml:space="preserve">An unsubscribe mechanism must be present and clearly visible. Opt-out requests must be honored within ten business days. No fee or requirements beyond email or opt-out reason are permitted. The opt-out list must be maintained and updated.</w:t>
      </w:r>
    </w:p>
    <w:p>
      <w:r>
        <w:br w:type="page"/>
      </w:r>
    </w:p>
    <w:p>
      <w:pPr>
        <w:pStyle w:val="Heading1"/>
      </w:pPr>
      <w:r>
        <w:t xml:space="preserve">Section 3: GDPR Compliance (EU/UK)</w:t>
      </w:r>
    </w:p>
    <w:p>
      <w:pPr>
        <w:spacing w:after="200"/>
      </w:pPr>
      <w:r>
        <w:rPr>
          <w:color w:val="475569"/>
          <w:sz w:val="24"/>
          <w:szCs w:val="24"/>
        </w:rPr>
        <w:t xml:space="preserve">For B2B outreach to European Union and United Kingdom prospects, legitimate interest is typically the lawful basis.</w:t>
      </w:r>
    </w:p>
    <w:p>
      <w:pPr>
        <w:pStyle w:val="Heading2"/>
      </w:pPr>
      <w:r>
        <w:t xml:space="preserve">Lawful Basis Assessment</w:t>
      </w:r>
    </w:p>
    <w:p>
      <w:pPr>
        <w:spacing w:after="200"/>
      </w:pPr>
      <w:r>
        <w:rPr>
          <w:color w:val="475569"/>
          <w:sz w:val="24"/>
          <w:szCs w:val="24"/>
        </w:rPr>
        <w:t xml:space="preserve">For B2B outreach under legitimate interest: the legitimate interest assessment must be documented, business context for outreach must be established, only minimal data should be processed (name, email, company, title), no sensitive or special category data should be processed, and the balance test (Legitimate Interest Assessment) must be completed.</w:t>
      </w:r>
    </w:p>
    <w:p>
      <w:pPr>
        <w:pStyle w:val="Heading2"/>
      </w:pPr>
      <w:r>
        <w:t xml:space="preserve">Data Subject Rights</w:t>
      </w:r>
    </w:p>
    <w:p>
      <w:pPr>
        <w:spacing w:after="200"/>
      </w:pPr>
      <w:r>
        <w:rPr>
          <w:color w:val="475569"/>
          <w:sz w:val="24"/>
          <w:szCs w:val="24"/>
        </w:rPr>
        <w:t xml:space="preserve">Processes must be in place for: right to access, right to rectification, right to erasure with a seventy-two hour SLA, right to object which must be honored immediately, and right to portability.</w:t>
      </w:r>
    </w:p>
    <w:p>
      <w:pPr>
        <w:pStyle w:val="Heading1"/>
      </w:pPr>
      <w:r>
        <w:t xml:space="preserve">Section 4: CCPA/CPRA Compliance (California)</w:t>
      </w:r>
    </w:p>
    <w:p>
      <w:pPr>
        <w:spacing w:after="200"/>
      </w:pPr>
      <w:r>
        <w:rPr>
          <w:color w:val="475569"/>
          <w:sz w:val="24"/>
          <w:szCs w:val="24"/>
        </w:rPr>
        <w:t xml:space="preserve">Note: The CCPA B2B exemption expired in January 2023. Full consumer rights now apply to business contacts.</w:t>
      </w:r>
    </w:p>
    <w:p>
      <w:pPr>
        <w:spacing w:after="200"/>
      </w:pPr>
      <w:r>
        <w:rPr>
          <w:color w:val="475569"/>
          <w:sz w:val="24"/>
          <w:szCs w:val="24"/>
        </w:rPr>
        <w:t xml:space="preserve">XGrowthOS must be classified as a Service Provider. Personal information must not be sold. Business purpose must be documented. Processes must be in place for: right to know, right to delete, right to opt-out, right to non-discrimination, and right to correct.</w:t>
      </w:r>
    </w:p>
    <w:p>
      <w:pPr>
        <w:pStyle w:val="Heading1"/>
      </w:pPr>
      <w:r>
        <w:t xml:space="preserve">Section 5: Do-Not-Contact Compliance</w:t>
      </w:r>
    </w:p>
    <w:p>
      <w:pPr>
        <w:spacing w:after="200"/>
      </w:pPr>
      <w:r>
        <w:rPr>
          <w:color w:val="475569"/>
          <w:sz w:val="24"/>
          <w:szCs w:val="24"/>
        </w:rPr>
        <w:t xml:space="preserve">Before any campaign sends, verify: Guardian DNC check is completed, leads are scrubbed against client customer list, leads are scrubbed against client competitor list, leads are checked against previous opt-outs, and leads are checked against complaint history. A master DNC list must be maintained. Client-specific DNC lists must be active. Opt-out additions must be processed same-day. Complaint additions must be processed immediately. DNC list audit must occur monthly.</w:t>
      </w:r>
    </w:p>
    <w:p>
      <w:pPr>
        <w:pStyle w:val="Heading1"/>
      </w:pPr>
      <w:r>
        <w:t xml:space="preserve">Section 6: Domain and Sender Compliance</w:t>
      </w:r>
    </w:p>
    <w:p>
      <w:pPr>
        <w:spacing w:after="200"/>
      </w:pPr>
      <w:r>
        <w:rPr>
          <w:color w:val="475569"/>
          <w:sz w:val="24"/>
          <w:szCs w:val="24"/>
        </w:rPr>
        <w:t xml:space="preserve">SPF record must be configured and passing. DKIM record must be configured and passing. DMARC policy must be published with p=quarantine minimum. DNS propagation must be confirmed. Authentication test must pass. For Gmail/Yahoo 2024-2025 requirements: One-click unsubscribe header is required, List-Unsubscribe-Post header is required, spam rate must remain below 0.1% and be monitored, authentication must be passing, and valid PTR records are required.</w:t>
      </w:r>
    </w:p>
    <w:p>
      <w:pPr>
        <w:pStyle w:val="Heading1"/>
      </w:pPr>
      <w:r>
        <w:t xml:space="preserve">Sign-Off</w:t>
      </w:r>
    </w:p>
    <w:p>
      <w:pPr>
        <w:spacing w:after="200"/>
      </w:pPr>
      <w:r>
        <w:rPr>
          <w:color w:val="475569"/>
          <w:sz w:val="24"/>
          <w:szCs w:val="24"/>
        </w:rPr>
        <w:t xml:space="preserve">Reviewed By: _____________________________________________</w:t>
      </w:r>
    </w:p>
    <w:p>
      <w:pPr>
        <w:spacing w:after="200"/>
      </w:pPr>
      <w:r>
        <w:rPr>
          <w:color w:val="475569"/>
          <w:sz w:val="24"/>
          <w:szCs w:val="24"/>
        </w:rPr>
        <w:t xml:space="preserve">Role: _____________________________________________</w:t>
      </w:r>
    </w:p>
    <w:p>
      <w:pPr>
        <w:spacing w:after="200"/>
      </w:pPr>
      <w:r>
        <w:rPr>
          <w:color w:val="475569"/>
          <w:sz w:val="24"/>
          <w:szCs w:val="24"/>
        </w:rPr>
        <w:t xml:space="preserve">Date: _____________________________________________</w:t>
      </w:r>
    </w:p>
    <w:p>
      <w:pPr>
        <w:spacing w:after="200"/>
      </w:pPr>
      <w:r>
        <w:rPr>
          <w:color w:val="475569"/>
          <w:sz w:val="24"/>
          <w:szCs w:val="24"/>
        </w:rPr>
        <w:t xml:space="preserve">Approved for Launch:  ☐ Yes    ☐ No - Requires remediation</w:t>
      </w:r>
    </w:p>
    <w:p>
      <w:pPr>
        <w:spacing w:after="200"/>
      </w:pPr>
      <w:r>
        <w:rPr>
          <w:color w:val="475569"/>
          <w:sz w:val="24"/>
          <w:szCs w:val="24"/>
        </w:rPr>
        <w:t xml:space="preserve">Notes: _____________________________________________</w:t>
      </w:r>
    </w:p>
    <w:p>
      <w:pPr>
        <w:spacing w:before="400" w:after="200"/>
        <w:jc w:val="center"/>
      </w:pPr>
      <w:r>
        <w:rPr>
          <w:color w:val="E2E8F0"/>
        </w:rPr>
        <w:t xml:space="preserve">────────────────────────────────────────────────────────────</w:t>
      </w:r>
    </w:p>
    <w:p>
      <w:pPr>
        <w:jc w:val="center"/>
      </w:pPr>
      <w:r>
        <w:rPr>
          <w:b/>
          <w:bCs/>
          <w:color w:val="059669"/>
          <w:sz w:val="22"/>
          <w:szCs w:val="22"/>
        </w:rPr>
        <w:t xml:space="preserve">XGrowthOS</w:t>
      </w:r>
      <w:r>
        <w:rPr>
          <w:color w:val="64748B"/>
          <w:sz w:val="20"/>
          <w:szCs w:val="20"/>
        </w:rPr>
        <w:t xml:space="preserve">  •  Autonomous B2B Lead Generation Platform</w:t>
      </w:r>
    </w:p>
    <w:p>
      <w:pPr>
        <w:jc w:val="center"/>
      </w:pPr>
      <w:r>
        <w:rPr>
          <w:color w:val="64748B"/>
          <w:sz w:val="20"/>
          <w:szCs w:val="20"/>
        </w:rPr>
        <w:t xml:space="preserve">support@xgrowthos.com  •  xgrowthos.com</w:t>
      </w:r>
    </w:p>
    <w:p>
      <w:pPr>
        <w:jc w:val="center"/>
      </w:pPr>
      <w:r>
        <w:rPr>
          <w:i/>
          <w:iCs/>
          <w:color w:val="64748B"/>
          <w:sz w:val="18"/>
          <w:szCs w:val="18"/>
        </w:rPr>
        <w:t xml:space="preserve">Document Version 2.0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Confidential  |  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59669"/>
        <w:sz w:val="20"/>
        <w:szCs w:val="20"/>
      </w:rPr>
      <w:t xml:space="preserve">XGrowthOS</w:t>
    </w:r>
    <w:r>
      <w:rPr>
        <w:color w:val="64748B"/>
        <w:sz w:val="20"/>
        <w:szCs w:val="20"/>
      </w:rPr>
      <w:t xml:space="preserve">  |  Legal Review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0F172A"/>
      <w:sz w:val="48"/>
      <w:szCs w:val="48"/>
    </w:rPr>
  </w:style>
  <w:style w:type="paragraph" w:styleId="Heading2">
    <w:name w:val="Heading 2"/>
    <w:basedOn w:val="Normal"/>
    <w:next w:val="Normal"/>
    <w:qFormat/>
    <w:pPr>
      <w:spacing w:before="300" w:after="150"/>
    </w:pPr>
    <w:rPr>
      <w:b/>
      <w:bCs/>
      <w:color w:val="0F172A"/>
      <w:sz w:val="32"/>
      <w:szCs w:val="32"/>
    </w:rPr>
  </w:style>
  <w:style w:type="paragraph" w:styleId="Heading3">
    <w:name w:val="Heading 3"/>
    <w:basedOn w:val="Normal"/>
    <w:next w:val="Normal"/>
    <w:qFormat/>
    <w:pPr>
      <w:spacing w:before="240" w:after="120"/>
    </w:pPr>
    <w:rPr>
      <w:b/>
      <w:bCs/>
      <w:color w:val="0596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2026-01-24T03:27:59.191Z</dcterms:created>
  <dcterms:modified xsi:type="dcterms:W3CDTF">2026-01-24T03:27:59.191Z</dcterms:modified>
</cp:coreProperties>
</file>

<file path=docProps/custom.xml><?xml version="1.0" encoding="utf-8"?>
<Properties xmlns="http://schemas.openxmlformats.org/officeDocument/2006/custom-properties" xmlns:vt="http://schemas.openxmlformats.org/officeDocument/2006/docPropsVTypes"/>
</file>