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right"/>
      </w:pPr>
      <w:r>
        <w:rPr>
          <w:color w:val="64748B"/>
          <w:sz w:val="20"/>
          <w:szCs w:val="20"/>
        </w:rPr>
        <w:t xml:space="preserve">XG-DOC-014</w:t>
      </w:r>
    </w:p>
    <w:p>
      <w:pPr>
        <w:spacing w:after="150"/>
        <w:jc w:val="center"/>
      </w:pPr>
      <w:r>
        <w:rPr>
          <w:b/>
          <w:bCs/>
          <w:color w:val="0F172A"/>
          <w:sz w:val="56"/>
          <w:szCs w:val="56"/>
        </w:rPr>
        <w:t xml:space="preserve">Website Specification</w:t>
      </w:r>
    </w:p>
    <w:p>
      <w:pPr>
        <w:spacing w:after="400"/>
        <w:jc w:val="center"/>
      </w:pPr>
      <w:r>
        <w:rPr>
          <w:color w:val="059669"/>
          <w:sz w:val="26"/>
          <w:szCs w:val="26"/>
        </w:rPr>
        <w:t xml:space="preserve">XGrowthOS.com Technical &amp; Content Requirements</w:t>
      </w:r>
    </w:p>
    <w:p>
      <w:pPr>
        <w:pStyle w:val="Heading1"/>
      </w:pPr>
      <w:r>
        <w:t xml:space="preserve">Overview</w:t>
      </w:r>
    </w:p>
    <w:p>
      <w:pPr>
        <w:spacing w:after="200"/>
      </w:pPr>
      <w:r>
        <w:rPr>
          <w:color w:val="475569"/>
          <w:sz w:val="24"/>
          <w:szCs w:val="24"/>
        </w:rPr>
        <w:t xml:space="preserve">The XGrowthOS website serves as the primary marketing and client acquisition platform. Its purpose is to showcase autonomous B2B lead generation capabilities, educate visitors on the platform's unique approach, build trust through transparency and social proof, and convert qualified visitors into discovery call bookings.</w:t>
      </w:r>
    </w:p>
    <w:p>
      <w:pPr>
        <w:pStyle w:val="Heading2"/>
      </w:pPr>
      <w:r>
        <w:t xml:space="preserve">Target Audience</w:t>
      </w:r>
    </w:p>
    <w:p>
      <w:pPr>
        <w:spacing w:after="200"/>
      </w:pPr>
      <w:r>
        <w:rPr>
          <w:color w:val="475569"/>
          <w:sz w:val="24"/>
          <w:szCs w:val="24"/>
        </w:rPr>
        <w:t xml:space="preserve">The primary audience consists of B2B companies with average contract values of fifteen thousand dollars or more, VP and Director level executives in Sales and Marketing functions, founders and CEOs of growth-stage companies, and professionals in target industries including SaaS, Professional Services, IT/MSP, and FinTech.</w:t>
      </w:r>
    </w:p>
    <w:p>
      <w:pPr>
        <w:pStyle w:val="Heading2"/>
      </w:pPr>
      <w:r>
        <w:t xml:space="preserve">Primary Goals</w:t>
      </w:r>
    </w:p>
    <w:p>
      <w:pPr>
        <w:spacing w:after="200"/>
      </w:pPr>
      <w:r>
        <w:rPr>
          <w:color w:val="475569"/>
          <w:sz w:val="24"/>
          <w:szCs w:val="24"/>
        </w:rPr>
        <w:t xml:space="preserve">The website has four primary goals: educate visitors on autonomous lead generation, differentiate XGrowthOS from traditional agencies, generate qualified discovery call bookings, and build trust through social proof and transparency.</w:t>
      </w:r>
    </w:p>
    <w:p>
      <w:pPr>
        <w:pStyle w:val="Heading1"/>
      </w:pPr>
      <w:r>
        <w:t xml:space="preserve">Technical Stack</w:t>
      </w:r>
    </w:p>
    <w:p>
      <w:pPr>
        <w:pStyle w:val="Heading2"/>
      </w:pPr>
      <w:r>
        <w:t xml:space="preserve">Frontend</w:t>
      </w:r>
    </w:p>
    <w:p>
      <w:pPr>
        <w:spacing w:after="200"/>
      </w:pPr>
      <w:r>
        <w:rPr>
          <w:color w:val="475569"/>
          <w:sz w:val="24"/>
          <w:szCs w:val="24"/>
        </w:rPr>
        <w:t xml:space="preserve">The frontend is built with Next.js 14 or later using the App Router, TypeScript for type-safe development, Tailwind CSS for utility-first styling, shadcn/ui component library, and Framer Motion for animations.</w:t>
      </w:r>
    </w:p>
    <w:p>
      <w:pPr>
        <w:pStyle w:val="Heading2"/>
      </w:pPr>
      <w:r>
        <w:t xml:space="preserve">Backend and Services</w:t>
      </w:r>
    </w:p>
    <w:p>
      <w:pPr>
        <w:spacing w:after="200"/>
      </w:pPr>
      <w:r>
        <w:rPr>
          <w:color w:val="475569"/>
          <w:sz w:val="24"/>
          <w:szCs w:val="24"/>
        </w:rPr>
        <w:t xml:space="preserve">Backend and services include Vercel for hosting and deployment, Supabase for authentication and database, Stripe for payment processing, n8n Cloud for workflow automation, and Calendly for meeting scheduling.</w:t>
      </w:r>
    </w:p>
    <w:p>
      <w:pPr>
        <w:pStyle w:val="Heading2"/>
      </w:pPr>
      <w:r>
        <w:t xml:space="preserve">Analytics and Tracking</w:t>
      </w:r>
    </w:p>
    <w:p>
      <w:pPr>
        <w:spacing w:after="200"/>
      </w:pPr>
      <w:r>
        <w:rPr>
          <w:color w:val="475569"/>
          <w:sz w:val="24"/>
          <w:szCs w:val="24"/>
        </w:rPr>
        <w:t xml:space="preserve">Analytics and tracking tools include Google Analytics 4 for traffic analytics, Google Tag Manager for tag management, Hotjar for heatmaps and recordings, and The Sentinel for visitor identification.</w:t>
      </w:r>
    </w:p>
    <w:p>
      <w:pPr>
        <w:pStyle w:val="Heading1"/>
      </w:pPr>
      <w:r>
        <w:t xml:space="preserve">Brand Guidelines for Web</w:t>
      </w:r>
    </w:p>
    <w:p>
      <w:pPr>
        <w:pStyle w:val="Heading2"/>
      </w:pPr>
      <w:r>
        <w:t xml:space="preserve">Color Palette - Light Mode</w:t>
      </w:r>
    </w:p>
    <w:p>
      <w:pPr>
        <w:spacing w:after="200"/>
      </w:pPr>
      <w:r>
        <w:rPr>
          <w:color w:val="475569"/>
          <w:sz w:val="24"/>
          <w:szCs w:val="24"/>
        </w:rPr>
        <w:t xml:space="preserve">Light mode uses Emerald (#059669) as the primary color for CTAs, links, and accents, with Emerald Dark (#047857) for hover states. Background is white (#FFFFFF) with Gray 50 (#F9FAFB) for surface backgrounds. Text primary is Gray 900 (#111827) for headlines and Gray 700 (#374151) for body text.</w:t>
      </w:r>
    </w:p>
    <w:p>
      <w:pPr>
        <w:pStyle w:val="Heading2"/>
      </w:pPr>
      <w:r>
        <w:t xml:space="preserve">Color Palette - Dark Mode</w:t>
      </w:r>
    </w:p>
    <w:p>
      <w:pPr>
        <w:spacing w:after="200"/>
      </w:pPr>
      <w:r>
        <w:rPr>
          <w:color w:val="475569"/>
          <w:sz w:val="24"/>
          <w:szCs w:val="24"/>
        </w:rPr>
        <w:t xml:space="preserve">Dark mode uses Green (#22C55E) as the primary color with Green Dark (#16A34A) for hover states. Background is near-black (#0A0A0A) with Neutral 900 (#171717) for surface backgrounds. Text primary is near-white (#F9FAFB) for headlines and Neutral 200 (#E5E5E5) for body text.</w:t>
      </w:r>
    </w:p>
    <w:p>
      <w:pPr>
        <w:pStyle w:val="Heading2"/>
      </w:pPr>
      <w:r>
        <w:t xml:space="preserve">Typography</w:t>
      </w:r>
    </w:p>
    <w:p>
      <w:pPr>
        <w:spacing w:after="200"/>
      </w:pPr>
      <w:r>
        <w:rPr>
          <w:color w:val="475569"/>
          <w:sz w:val="24"/>
          <w:szCs w:val="24"/>
        </w:rPr>
        <w:t xml:space="preserve">H1 headlines use Sora Bold at 48-64 pixels. H2 headlines use Sora SemiBold at 36-48 pixels. H3 headlines use Sora SemiBold at 24-30 pixels. Body text in light mode uses Figtree Regular at 16-18 pixels. Body text in dark mode uses Sora Regular at 16-18 pixels. Buttons use Figtree SemiBold at 14-16 pixels.</w:t>
      </w:r>
    </w:p>
    <w:p>
      <w:r>
        <w:br w:type="page"/>
      </w:r>
    </w:p>
    <w:p>
      <w:pPr>
        <w:pStyle w:val="Heading1"/>
      </w:pPr>
      <w:r>
        <w:t xml:space="preserve">Site Structure</w:t>
      </w:r>
    </w:p>
    <w:p>
      <w:pPr>
        <w:pStyle w:val="Heading2"/>
      </w:pPr>
      <w:r>
        <w:t xml:space="preserve">Public Pages</w:t>
      </w:r>
    </w:p>
    <w:p>
      <w:pPr>
        <w:spacing w:after="200"/>
      </w:pPr>
      <w:r>
        <w:rPr>
          <w:color w:val="475569"/>
          <w:sz w:val="24"/>
          <w:szCs w:val="24"/>
        </w:rPr>
        <w:t xml:space="preserve">The public site structure includes: Homepage at root path, How It Works for platform explanation, Pricing for pricing tiers, About for company and founder information, Case Studies for client success stories, Blog for content marketing, Contact for contact form, Book Demo for Calendly embed, Privacy for privacy policy, and Terms for terms of service.</w:t>
      </w:r>
    </w:p>
    <w:p>
      <w:pPr>
        <w:pStyle w:val="Heading2"/>
      </w:pPr>
      <w:r>
        <w:t xml:space="preserve">Client Portal (Authenticated)</w:t>
      </w:r>
    </w:p>
    <w:p>
      <w:pPr>
        <w:spacing w:after="200"/>
      </w:pPr>
      <w:r>
        <w:rPr>
          <w:color w:val="475569"/>
          <w:sz w:val="24"/>
          <w:szCs w:val="24"/>
        </w:rPr>
        <w:t xml:space="preserve">The authenticated client portal includes: Dashboard for overview metrics, Campaigns for campaign management, Analytics for performance analytics, Compliance for Guardian status, Reports for weekly reports, and Settings for account settings.</w:t>
      </w:r>
    </w:p>
    <w:p>
      <w:pPr>
        <w:pStyle w:val="Heading1"/>
      </w:pPr>
      <w:r>
        <w:t xml:space="preserve">Homepage Specification</w:t>
      </w:r>
    </w:p>
    <w:p>
      <w:pPr>
        <w:spacing w:after="200"/>
      </w:pPr>
      <w:r>
        <w:rPr>
          <w:color w:val="475569"/>
          <w:sz w:val="24"/>
          <w:szCs w:val="24"/>
        </w:rPr>
        <w:t xml:space="preserve">The Hero Section should include a headline such as 'Autonomous B2B Lead Generation That Books Meetings While You Sleep', a brief value proposition subheadline, a primary CTA of 'Book Your Discovery Call', a secondary CTA of 'See How It Works', and an AI engine visualization or demo screenshot.</w:t>
      </w:r>
    </w:p>
    <w:p>
      <w:pPr>
        <w:spacing w:after="200"/>
      </w:pPr>
      <w:r>
        <w:rPr>
          <w:color w:val="475569"/>
          <w:sz w:val="24"/>
          <w:szCs w:val="24"/>
        </w:rPr>
        <w:t xml:space="preserve">The Problem/Solution Section should address traditional agency pain points, present XGrowthOS solution benefits, and include a comparison table. The Five AI Engines Section should present each engine: The Guardian for Compliance, The Architect for Campaign Design, The Scientist for Optimization, The Hunter for Lead Expansion, and The Sentinel for Visitor Intelligence. The Social Proof Section should include client logos, key metrics achieved, and testimonial quotes.</w:t>
      </w:r>
    </w:p>
    <w:p>
      <w:pPr>
        <w:pStyle w:val="Heading1"/>
      </w:pPr>
      <w:r>
        <w:t xml:space="preserve">SEO Requirements</w:t>
      </w:r>
    </w:p>
    <w:p>
      <w:pPr>
        <w:spacing w:after="200"/>
      </w:pPr>
      <w:r>
        <w:rPr>
          <w:color w:val="475569"/>
          <w:sz w:val="24"/>
          <w:szCs w:val="24"/>
        </w:rPr>
        <w:t xml:space="preserve">Technical SEO requirements include server-side rendering via Next.js, semantic HTML structure, XML sitemap generation, robots.txt configuration, canonical URLs, Schema markup for Organization, LocalBusiness, and FAQPage, Open Graph tags, and Twitter Card tags.</w:t>
      </w:r>
    </w:p>
    <w:p>
      <w:pPr>
        <w:spacing w:after="200"/>
      </w:pPr>
      <w:r>
        <w:rPr>
          <w:color w:val="475569"/>
          <w:sz w:val="24"/>
          <w:szCs w:val="24"/>
        </w:rPr>
        <w:t xml:space="preserve">Page speed targets are LCP under 2.5 seconds, FID under 100 milliseconds, CLS under 0.1, and Performance Score above 90.</w:t>
      </w:r>
    </w:p>
    <w:p>
      <w:pPr>
        <w:spacing w:after="200"/>
      </w:pPr>
      <w:r>
        <w:rPr>
          <w:color w:val="475569"/>
          <w:sz w:val="24"/>
          <w:szCs w:val="24"/>
        </w:rPr>
        <w:t xml:space="preserve">Primary target keywords include B2B lead generation, cold email automation, AI lead generation, automated prospecting, and meeting booking service. Secondary keywords include cold email agency, B2B email marketing, sales automation, lead generation service, and outbound sales automation.</w:t>
      </w:r>
    </w:p>
    <w:p>
      <w:pPr>
        <w:pStyle w:val="Heading1"/>
      </w:pPr>
      <w:r>
        <w:t xml:space="preserve">Performance and Security</w:t>
      </w:r>
    </w:p>
    <w:p>
      <w:pPr>
        <w:spacing w:after="200"/>
      </w:pPr>
      <w:r>
        <w:rPr>
          <w:color w:val="475569"/>
          <w:sz w:val="24"/>
          <w:szCs w:val="24"/>
        </w:rPr>
        <w:t xml:space="preserve">Availability target is 99.9% uptime using Vercel edge network with automatic failover. Security requirements include HTTPS only, security headers, CSP policy, rate limiting on forms, and bot protection via Cloudflare. Accessibility requirements include WCAG 2.1 AA compliance, keyboard navigation, screen reader compatibility, sufficient color contrast, and alt text for images.</w:t>
      </w:r>
    </w:p>
    <w:p>
      <w:pPr>
        <w:spacing w:before="400" w:after="200"/>
        <w:jc w:val="center"/>
      </w:pPr>
      <w:r>
        <w:rPr>
          <w:color w:val="E2E8F0"/>
        </w:rPr>
        <w:t xml:space="preserve">────────────────────────────────────────────────────────────</w:t>
      </w:r>
    </w:p>
    <w:p>
      <w:pPr>
        <w:jc w:val="center"/>
      </w:pPr>
      <w:r>
        <w:rPr>
          <w:b/>
          <w:bCs/>
          <w:color w:val="059669"/>
          <w:sz w:val="22"/>
          <w:szCs w:val="22"/>
        </w:rPr>
        <w:t xml:space="preserve">XGrowthOS</w:t>
      </w:r>
      <w:r>
        <w:rPr>
          <w:color w:val="64748B"/>
          <w:sz w:val="20"/>
          <w:szCs w:val="20"/>
        </w:rPr>
        <w:t xml:space="preserve">  •  Autonomous B2B Lead Generation Platform</w:t>
      </w:r>
    </w:p>
    <w:p>
      <w:pPr>
        <w:jc w:val="center"/>
      </w:pPr>
      <w:r>
        <w:rPr>
          <w:color w:val="64748B"/>
          <w:sz w:val="20"/>
          <w:szCs w:val="20"/>
        </w:rPr>
        <w:t xml:space="preserve">support@xgrowthos.com  •  xgrowthos.com</w:t>
      </w:r>
    </w:p>
    <w:p>
      <w:pPr>
        <w:jc w:val="center"/>
      </w:pPr>
      <w:r>
        <w:rPr>
          <w:i/>
          <w:iCs/>
          <w:color w:val="64748B"/>
          <w:sz w:val="18"/>
          <w:szCs w:val="18"/>
        </w:rPr>
        <w:t xml:space="preserve">Document Version 2.0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20"/>
        <w:szCs w:val="20"/>
      </w:rPr>
      <w:t xml:space="preserve">XGrowthOS</w:t>
    </w:r>
    <w:r>
      <w:rPr>
        <w:color w:val="64748B"/>
        <w:sz w:val="20"/>
        <w:szCs w:val="20"/>
      </w:rPr>
      <w:t xml:space="preserve">  |  Website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0F172A"/>
      <w:sz w:val="48"/>
      <w:szCs w:val="48"/>
    </w:rPr>
  </w:style>
  <w:style w:type="paragraph" w:styleId="Heading2">
    <w:name w:val="Heading 2"/>
    <w:basedOn w:val="Normal"/>
    <w:next w:val="Normal"/>
    <w:qFormat/>
    <w:pPr>
      <w:spacing w:before="300" w:after="150"/>
    </w:pPr>
    <w:rPr>
      <w:b/>
      <w:bCs/>
      <w:color w:val="0F172A"/>
      <w:sz w:val="32"/>
      <w:szCs w:val="32"/>
    </w:rPr>
  </w:style>
  <w:style w:type="paragraph" w:styleId="Heading3">
    <w:name w:val="Heading 3"/>
    <w:basedOn w:val="Normal"/>
    <w:next w:val="Normal"/>
    <w:qFormat/>
    <w:pPr>
      <w:spacing w:before="240" w:after="120"/>
    </w:pPr>
    <w:rPr>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2026-01-24T03:27:59.212Z</dcterms:created>
  <dcterms:modified xsi:type="dcterms:W3CDTF">2026-01-24T03:27:59.212Z</dcterms:modified>
</cp:coreProperties>
</file>

<file path=docProps/custom.xml><?xml version="1.0" encoding="utf-8"?>
<Properties xmlns="http://schemas.openxmlformats.org/officeDocument/2006/custom-properties" xmlns:vt="http://schemas.openxmlformats.org/officeDocument/2006/docPropsVTypes"/>
</file>