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right"/>
      </w:pPr>
      <w:r>
        <w:rPr>
          <w:color w:val="64748B"/>
          <w:sz w:val="20"/>
          <w:szCs w:val="20"/>
        </w:rPr>
        <w:t xml:space="preserve">XG-DOC-022</w:t>
      </w:r>
    </w:p>
    <w:p>
      <w:pPr>
        <w:spacing w:after="150"/>
        <w:jc w:val="center"/>
      </w:pPr>
      <w:r>
        <w:rPr>
          <w:b/>
          <w:bCs/>
          <w:color w:val="0F172A"/>
          <w:sz w:val="56"/>
          <w:szCs w:val="56"/>
        </w:rPr>
        <w:t xml:space="preserve">Data Processing Agreement</w:t>
      </w:r>
    </w:p>
    <w:p>
      <w:pPr>
        <w:spacing w:after="400"/>
        <w:jc w:val="center"/>
      </w:pPr>
      <w:r>
        <w:rPr>
          <w:color w:val="059669"/>
          <w:sz w:val="26"/>
          <w:szCs w:val="26"/>
        </w:rPr>
        <w:t xml:space="preserve">GDPR/CCPA Compliance</w:t>
      </w:r>
    </w:p>
    <w:p>
      <w:pPr>
        <w:spacing w:after="300"/>
        <w:jc w:val="center"/>
      </w:pPr>
      <w:r>
        <w:rPr>
          <w:b/>
          <w:bCs/>
          <w:color w:val="0F172A"/>
          <w:sz w:val="32"/>
          <w:szCs w:val="32"/>
        </w:rPr>
        <w:t xml:space="preserve">DATA PROCESSING AGREEMENT</w:t>
      </w:r>
    </w:p>
    <w:p>
      <w:pPr>
        <w:spacing w:after="200"/>
      </w:pPr>
      <w:r>
        <w:rPr>
          <w:color w:val="475569"/>
          <w:sz w:val="24"/>
          <w:szCs w:val="24"/>
        </w:rPr>
        <w:t xml:space="preserve">This Data Processing Agreement (DPA) is entered into between XGrowthOS (Processor or Service Provider), a California sole proprietorship represented by Marcos Matthews as Founder and CEO, and the Client (Controller or Business) identified in the signature block. This DPA supplements and is incorporated into the Pilot Service Agreement between the parties.</w:t>
      </w:r>
    </w:p>
    <w:p>
      <w:pPr>
        <w:pStyle w:val="Heading1"/>
      </w:pPr>
      <w:r>
        <w:t xml:space="preserve">1. Definitions</w:t>
      </w:r>
    </w:p>
    <w:p>
      <w:pPr>
        <w:spacing w:after="200"/>
      </w:pPr>
      <w:r>
        <w:rPr>
          <w:color w:val="475569"/>
          <w:sz w:val="24"/>
          <w:szCs w:val="24"/>
        </w:rPr>
        <w:t xml:space="preserve">Applicable Data Protection Laws means all applicable laws relating to data protection and privacy, including but not limited to the EU General Data Protection Regulation (GDPR), UK GDPR, California Consumer Privacy Act (CCPA/CPRA), Canada's CASL and PIPEDA, and other applicable privacy regulations.</w:t>
      </w:r>
    </w:p>
    <w:p>
      <w:pPr>
        <w:spacing w:after="200"/>
      </w:pPr>
      <w:r>
        <w:rPr>
          <w:color w:val="475569"/>
          <w:sz w:val="24"/>
          <w:szCs w:val="24"/>
        </w:rPr>
        <w:t xml:space="preserve">Personal Data means any information relating to an identified or identifiable natural person processed under the Agreement. Data Subject means the individual to whom Personal Data relates. Processing means any operation performed on Personal Data. Controller means the entity that determines purposes and means of processing. Processor means the entity that processes Personal Data on behalf of the Controller.</w:t>
      </w:r>
    </w:p>
    <w:p>
      <w:pPr>
        <w:pStyle w:val="Heading1"/>
      </w:pPr>
      <w:r>
        <w:t xml:space="preserve">2. Scope and Roles</w:t>
      </w:r>
    </w:p>
    <w:p>
      <w:pPr>
        <w:spacing w:after="200"/>
      </w:pPr>
      <w:r>
        <w:rPr>
          <w:color w:val="475569"/>
          <w:sz w:val="24"/>
          <w:szCs w:val="24"/>
        </w:rPr>
        <w:t xml:space="preserve">Processor will process Personal Data on behalf of Controller for the purpose of providing B2B lead generation services as described in the Agreement.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Party</w:t>
            </w:r>
          </w:p>
        </w:tc>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Role</w:t>
            </w:r>
          </w:p>
        </w:tc>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Responsibility</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Client</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Controller/Business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Determines purposes and means</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XGrowthOS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Processor/Service Provider</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Processes per instructions</w:t>
            </w:r>
          </w:p>
        </w:tc>
      </w:tr>
    </w:tbl>
    <w:p>
      <w:pPr>
        <w:spacing w:after="200"/>
      </w:pPr>
    </w:p>
    <w:p>
      <w:pPr>
        <w:spacing w:after="200"/>
      </w:pPr>
      <w:r>
        <w:rPr>
          <w:color w:val="475569"/>
          <w:sz w:val="24"/>
          <w:szCs w:val="24"/>
        </w:rPr>
        <w:t xml:space="preserve">Categories of Data Subjects include prospective customers (leads) of Controller, business contacts within target organizations, and website visitors if Sentinel is enabled.</w:t>
      </w:r>
    </w:p>
    <w:p>
      <w:pPr>
        <w:spacing w:after="200"/>
      </w:pPr>
      <w:r>
        <w:rPr>
          <w:color w:val="475569"/>
          <w:sz w:val="24"/>
          <w:szCs w:val="24"/>
        </w:rPr>
        <w:t xml:space="preserve">Types of Personal Data include name (first, last), business email address, business phone number, job title/role, company name and information, LinkedIn profile URL, IP address for website visitors, and email engagement data (opens, clicks, replies).</w:t>
      </w:r>
    </w:p>
    <w:p>
      <w:pPr>
        <w:pStyle w:val="Heading1"/>
      </w:pPr>
      <w:r>
        <w:t xml:space="preserve">3. Processor Obligations</w:t>
      </w:r>
    </w:p>
    <w:p>
      <w:pPr>
        <w:spacing w:after="200"/>
      </w:pPr>
      <w:r>
        <w:rPr>
          <w:color w:val="475569"/>
          <w:sz w:val="24"/>
          <w:szCs w:val="24"/>
        </w:rPr>
        <w:t xml:space="preserve">Processor shall process Personal Data only on documented instructions from Controller, inform Controller if instructions violate Applicable Data Protection Laws, and not process Personal Data for any purpose other than providing the Services.</w:t>
      </w:r>
    </w:p>
    <w:p>
      <w:pPr>
        <w:spacing w:after="200"/>
      </w:pPr>
      <w:r>
        <w:rPr>
          <w:color w:val="475569"/>
          <w:sz w:val="24"/>
          <w:szCs w:val="24"/>
        </w:rPr>
        <w:t xml:space="preserve">Processor shall ensure personnel processing Personal Data are bound by confidentiality obligations, limit access to Personal Data to those who need it for service delivery, and maintain appropriate access controls.</w:t>
      </w:r>
    </w:p>
    <w:p>
      <w:pPr>
        <w:pStyle w:val="Heading2"/>
      </w:pPr>
      <w:r>
        <w:t xml:space="preserve">Security Measures</w:t>
      </w:r>
    </w:p>
    <w:p>
      <w:pPr>
        <w:spacing w:after="200"/>
      </w:pPr>
      <w:r>
        <w:rPr>
          <w:color w:val="475569"/>
          <w:sz w:val="24"/>
          <w:szCs w:val="24"/>
        </w:rPr>
        <w:t xml:space="preserve">Access Controls: Role-based access, unique credentials, MFA where applicable. Encryption: TLS 1.2+ for data in transit, AES-256 for data at rest. Monitoring: Audit logging, intrusion detection, anomaly monitoring. Physical Security: Cloud infrastructure with SOC 2 compliance. Personnel: Background checks, training, confidentiality agreements. Incident Response: Documented procedures, notification protocols.</w:t>
      </w:r>
    </w:p>
    <w:p>
      <w:r>
        <w:br w:type="page"/>
      </w:r>
    </w:p>
    <w:p>
      <w:pPr>
        <w:pStyle w:val="Heading1"/>
      </w:pPr>
      <w:r>
        <w:t xml:space="preserve">4. Sub-processors</w:t>
      </w:r>
    </w:p>
    <w:p>
      <w:pPr>
        <w:spacing w:after="200"/>
      </w:pPr>
      <w:r>
        <w:rPr>
          <w:color w:val="475569"/>
          <w:sz w:val="24"/>
          <w:szCs w:val="24"/>
        </w:rPr>
        <w:t xml:space="preserve">Controller grants general authorization for Processor to engage Sub-processors, subject to Processor maintaining a list of Sub-processors, providing notice of new Sub-processors, and ensuring Sub-processors are bound by equivalent obligations.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Sub-processor</w:t>
            </w:r>
          </w:p>
        </w:tc>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Purpose</w:t>
            </w:r>
          </w:p>
        </w:tc>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Location</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Instantly.ai</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Email sending platform</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USA</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n8n Cloud</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Workflow automation</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Germany/EU</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OpenAI</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AI content generation</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USA</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Google Cloud</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Infrastructure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USA</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Supabase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Database</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USA</w:t>
            </w:r>
          </w:p>
        </w:tc>
      </w:tr>
    </w:tbl>
    <w:p>
      <w:pPr>
        <w:spacing w:after="200"/>
      </w:pPr>
    </w:p>
    <w:p>
      <w:pPr>
        <w:spacing w:after="200"/>
      </w:pPr>
      <w:r>
        <w:rPr>
          <w:color w:val="475569"/>
          <w:sz w:val="24"/>
          <w:szCs w:val="24"/>
        </w:rPr>
        <w:t xml:space="preserve">Controller will be notified 30 days before new Sub-processor engagement. Controller may object within 14 days. If objection cannot be resolved, Controller may terminate affected services.</w:t>
      </w:r>
    </w:p>
    <w:p>
      <w:pPr>
        <w:pStyle w:val="Heading1"/>
      </w:pPr>
      <w:r>
        <w:t xml:space="preserve">5. Data Subject Rights</w:t>
      </w:r>
    </w:p>
    <w:p>
      <w:pPr>
        <w:spacing w:after="200"/>
      </w:pPr>
      <w:r>
        <w:rPr>
          <w:color w:val="475569"/>
          <w:sz w:val="24"/>
          <w:szCs w:val="24"/>
        </w:rPr>
        <w:t xml:space="preserve">Processor shall assist Controller in responding to Data Subject requests for: Access to Personal Data, Rectification of inaccurate data, Erasure (right to be forgotten), Restriction of processing, Data portability, and Objection to processing.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Request Type</w:t>
            </w:r>
          </w:p>
        </w:tc>
        <w:tc>
          <w:tcPr>
            <w:tcW w:type="dxa" w:w="468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Response Time</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Opt-out / Unsubscribe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Same business day</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Erasure request</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72 hours</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Access request</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30 days</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Rectification</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72 hours</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Other requests</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30 days</w:t>
            </w:r>
          </w:p>
        </w:tc>
      </w:tr>
    </w:tbl>
    <w:p>
      <w:pPr>
        <w:spacing w:after="200"/>
      </w:pPr>
    </w:p>
    <w:p>
      <w:pPr>
        <w:pStyle w:val="Heading1"/>
      </w:pPr>
      <w:r>
        <w:t xml:space="preserve">6. Data Breach Notification</w:t>
      </w:r>
    </w:p>
    <w:p>
      <w:pPr>
        <w:spacing w:after="200"/>
      </w:pPr>
      <w:r>
        <w:rPr>
          <w:color w:val="475569"/>
          <w:sz w:val="24"/>
          <w:szCs w:val="24"/>
        </w:rPr>
        <w:t xml:space="preserve">In the event of a Personal Data breach, Processor shall notify Controller within 72 hours of discovery, investigate immediately, contain breach as soon as possible, document incident within 24 hours, and provide detailed report within 5 days.</w:t>
      </w:r>
    </w:p>
    <w:p>
      <w:pPr>
        <w:spacing w:after="200"/>
      </w:pPr>
      <w:r>
        <w:rPr>
          <w:color w:val="475569"/>
          <w:sz w:val="24"/>
          <w:szCs w:val="24"/>
        </w:rPr>
        <w:t xml:space="preserve">Breach notification shall include: nature of the breach, categories and approximate number of Data Subjects affected, categories and approximate number of records affected, likely consequences, and measures taken or proposed.</w:t>
      </w:r>
    </w:p>
    <w:p>
      <w:pPr>
        <w:pStyle w:val="Heading1"/>
      </w:pPr>
      <w:r>
        <w:t xml:space="preserve">7. Data Retention and Deletion</w:t>
      </w:r>
    </w:p>
    <w:p>
      <w:pPr>
        <w:spacing w:after="200"/>
      </w:pPr>
      <w:r>
        <w:rPr>
          <w:color w:val="475569"/>
          <w:sz w:val="24"/>
          <w:szCs w:val="24"/>
        </w:rPr>
        <w:t xml:space="preserve">Active campaign leads are retained for the duration of services. Opt-out records are retained for 7 years for compliance. Campaign performance data is retained for 2 years. Financial/invoice records are retained for 7 years.</w:t>
      </w:r>
    </w:p>
    <w:p>
      <w:pPr>
        <w:spacing w:after="200"/>
      </w:pPr>
      <w:r>
        <w:rPr>
          <w:color w:val="475569"/>
          <w:sz w:val="24"/>
          <w:szCs w:val="24"/>
        </w:rPr>
        <w:t xml:space="preserve">Upon Termination: Export data to Controller within 14 days of request, continue data retention for 90 days post-termination, secure deletion at 90 days post-termination, and deletion certification upon request.</w:t>
      </w:r>
    </w:p>
    <w:p>
      <w:pPr>
        <w:pStyle w:val="Heading1"/>
      </w:pPr>
      <w:r>
        <w:t xml:space="preserve">8. Signatures</w:t>
      </w:r>
    </w:p>
    <w:p>
      <w:pPr>
        <w:spacing w:after="200"/>
      </w:pPr>
      <w:r>
        <w:rPr>
          <w:b/>
          <w:bCs/>
          <w:color w:val="475569"/>
          <w:sz w:val="24"/>
          <w:szCs w:val="24"/>
        </w:rPr>
        <w:t xml:space="preserve">XGROWTHOS (Processor)</w:t>
      </w:r>
    </w:p>
    <w:p>
      <w:pPr>
        <w:spacing w:after="200"/>
      </w:pPr>
      <w:r>
        <w:rPr>
          <w:color w:val="475569"/>
          <w:sz w:val="24"/>
          <w:szCs w:val="24"/>
        </w:rPr>
        <w:t xml:space="preserve">Signature: _____________________________________________</w:t>
      </w:r>
    </w:p>
    <w:p>
      <w:pPr>
        <w:spacing w:after="200"/>
      </w:pPr>
      <w:r>
        <w:rPr>
          <w:color w:val="475569"/>
          <w:sz w:val="24"/>
          <w:szCs w:val="24"/>
        </w:rPr>
        <w:t xml:space="preserve">Name: Marcos Matthews, Title: Founder &amp; CEO</w:t>
      </w:r>
    </w:p>
    <w:p>
      <w:pPr>
        <w:spacing w:after="200"/>
      </w:pPr>
      <w:r>
        <w:rPr>
          <w:color w:val="475569"/>
          <w:sz w:val="24"/>
          <w:szCs w:val="24"/>
        </w:rPr>
        <w:t xml:space="preserve">Date: _____________________________________________</w:t>
      </w:r>
    </w:p>
    <w:p>
      <w:pPr>
        <w:spacing w:after="200"/>
      </w:pPr>
    </w:p>
    <w:p>
      <w:pPr>
        <w:spacing w:after="200"/>
      </w:pPr>
      <w:r>
        <w:rPr>
          <w:b/>
          <w:bCs/>
          <w:color w:val="475569"/>
          <w:sz w:val="24"/>
          <w:szCs w:val="24"/>
        </w:rPr>
        <w:t xml:space="preserve">CLIENT (Controller)</w:t>
      </w:r>
    </w:p>
    <w:p>
      <w:pPr>
        <w:spacing w:after="200"/>
      </w:pPr>
      <w:r>
        <w:rPr>
          <w:color w:val="475569"/>
          <w:sz w:val="24"/>
          <w:szCs w:val="24"/>
        </w:rPr>
        <w:t xml:space="preserve">Signature: _____________________________________________</w:t>
      </w:r>
    </w:p>
    <w:p>
      <w:pPr>
        <w:spacing w:after="200"/>
      </w:pPr>
      <w:r>
        <w:rPr>
          <w:color w:val="475569"/>
          <w:sz w:val="24"/>
          <w:szCs w:val="24"/>
        </w:rPr>
        <w:t xml:space="preserve">Name: _____________________________________________</w:t>
      </w:r>
    </w:p>
    <w:p>
      <w:pPr>
        <w:spacing w:after="200"/>
      </w:pPr>
      <w:r>
        <w:rPr>
          <w:color w:val="475569"/>
          <w:sz w:val="24"/>
          <w:szCs w:val="24"/>
        </w:rPr>
        <w:t xml:space="preserve">Title: _____________________________________________</w:t>
      </w:r>
    </w:p>
    <w:p>
      <w:pPr>
        <w:spacing w:after="200"/>
      </w:pPr>
      <w:r>
        <w:rPr>
          <w:color w:val="475569"/>
          <w:sz w:val="24"/>
          <w:szCs w:val="24"/>
        </w:rPr>
        <w:t xml:space="preserve">Date: _____________________________________________</w:t>
      </w:r>
    </w:p>
    <w:p>
      <w:pPr>
        <w:spacing w:before="400" w:after="200"/>
        <w:jc w:val="center"/>
      </w:pPr>
      <w:r>
        <w:rPr>
          <w:color w:val="E2E8F0"/>
        </w:rPr>
        <w:t xml:space="preserve">────────────────────────────────────────────────────────────</w:t>
      </w:r>
    </w:p>
    <w:p>
      <w:pPr>
        <w:jc w:val="center"/>
      </w:pPr>
      <w:r>
        <w:rPr>
          <w:b/>
          <w:bCs/>
          <w:color w:val="059669"/>
          <w:sz w:val="22"/>
          <w:szCs w:val="22"/>
        </w:rPr>
        <w:t xml:space="preserve">XGrowthOS</w:t>
      </w:r>
      <w:r>
        <w:rPr>
          <w:color w:val="64748B"/>
          <w:sz w:val="20"/>
          <w:szCs w:val="20"/>
        </w:rPr>
        <w:t xml:space="preserve">  •  Autonomous B2B Lead Generation Platform</w:t>
      </w:r>
    </w:p>
    <w:p>
      <w:pPr>
        <w:jc w:val="center"/>
      </w:pPr>
      <w:r>
        <w:rPr>
          <w:color w:val="64748B"/>
          <w:sz w:val="20"/>
          <w:szCs w:val="20"/>
        </w:rPr>
        <w:t xml:space="preserve">support@xgrowthos.com  •  xgrowthos.com</w:t>
      </w:r>
    </w:p>
    <w:p>
      <w:pPr>
        <w:jc w:val="center"/>
      </w:pPr>
      <w:r>
        <w:rPr>
          <w:i/>
          <w:iCs/>
          <w:color w:val="64748B"/>
          <w:sz w:val="18"/>
          <w:szCs w:val="18"/>
        </w:rPr>
        <w:t xml:space="preserve">Document Version 2.0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20"/>
        <w:szCs w:val="20"/>
      </w:rPr>
      <w:t xml:space="preserve">XGrowthOS</w:t>
    </w:r>
    <w:r>
      <w:rPr>
        <w:color w:val="64748B"/>
        <w:sz w:val="20"/>
        <w:szCs w:val="20"/>
      </w:rPr>
      <w:t xml:space="preserve">  |  Data Processing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0F172A"/>
      <w:sz w:val="48"/>
      <w:szCs w:val="48"/>
    </w:rPr>
  </w:style>
  <w:style w:type="paragraph" w:styleId="Heading2">
    <w:name w:val="Heading 2"/>
    <w:basedOn w:val="Normal"/>
    <w:next w:val="Normal"/>
    <w:qFormat/>
    <w:pPr>
      <w:spacing w:before="300" w:after="150"/>
    </w:pPr>
    <w:rPr>
      <w:b/>
      <w:bCs/>
      <w:color w:val="0F172A"/>
      <w:sz w:val="32"/>
      <w:szCs w:val="32"/>
    </w:rPr>
  </w:style>
  <w:style w:type="paragraph" w:styleId="Heading3">
    <w:name w:val="Heading 3"/>
    <w:basedOn w:val="Normal"/>
    <w:next w:val="Normal"/>
    <w:qFormat/>
    <w:pPr>
      <w:spacing w:before="240" w:after="120"/>
    </w:pPr>
    <w:rPr>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2026-01-24T03:31:48.257Z</dcterms:created>
  <dcterms:modified xsi:type="dcterms:W3CDTF">2026-01-24T03:31:48.257Z</dcterms:modified>
</cp:coreProperties>
</file>

<file path=docProps/custom.xml><?xml version="1.0" encoding="utf-8"?>
<Properties xmlns="http://schemas.openxmlformats.org/officeDocument/2006/custom-properties" xmlns:vt="http://schemas.openxmlformats.org/officeDocument/2006/docPropsVTypes"/>
</file>