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XG-DOC-003</w:t>
      </w:r>
    </w:p>
    <w:p>
      <w:pPr>
        <w:spacing w:after="150"/>
        <w:jc w:val="center"/>
      </w:pPr>
      <w:r>
        <w:rPr>
          <w:b/>
          <w:bCs/>
          <w:color w:val="0F172A"/>
          <w:sz w:val="56"/>
          <w:szCs w:val="56"/>
        </w:rPr>
        <w:t xml:space="preserve">Pilot Service Agreement</w:t>
      </w:r>
    </w:p>
    <w:p>
      <w:pPr>
        <w:spacing w:after="400"/>
        <w:jc w:val="center"/>
      </w:pPr>
      <w:r>
        <w:rPr>
          <w:color w:val="059669"/>
          <w:sz w:val="26"/>
          <w:szCs w:val="26"/>
        </w:rPr>
        <w:t xml:space="preserve">XGrowthOS Master Statement of Work</w:t>
      </w:r>
    </w:p>
    <w:p>
      <w:pPr>
        <w:spacing w:after="300"/>
        <w:jc w:val="center"/>
      </w:pPr>
      <w:r>
        <w:rPr>
          <w:b/>
          <w:bCs/>
          <w:color w:val="0F172A"/>
          <w:sz w:val="32"/>
          <w:szCs w:val="32"/>
        </w:rPr>
        <w:t xml:space="preserve">PILOT SERVICE AGREEMENT</w:t>
      </w:r>
    </w:p>
    <w:p>
      <w:pPr>
        <w:spacing w:after="200"/>
      </w:pPr>
      <w:r>
        <w:rPr>
          <w:color w:val="475569"/>
          <w:sz w:val="24"/>
          <w:szCs w:val="24"/>
        </w:rPr>
        <w:t xml:space="preserve">Effective Date: _______________________</w:t>
      </w:r>
    </w:p>
    <w:p>
      <w:pPr>
        <w:spacing w:after="200"/>
      </w:pPr>
    </w:p>
    <w:p>
      <w:pPr>
        <w:spacing w:after="200"/>
      </w:pPr>
      <w:r>
        <w:rPr>
          <w:color w:val="475569"/>
          <w:sz w:val="24"/>
          <w:szCs w:val="24"/>
        </w:rPr>
        <w:t xml:space="preserve">This Pilot Service Agreement, referred to herein as the Agreement, is entered into by and between XGrowthOS, a California sole proprietorship operated by Marcos Matthews as Founder and Chief Executive Officer and located in Los Angeles, California, hereinafter referred to as Provider, and the client company identified in the signature block below, hereinafter referred to as Client.</w:t>
      </w:r>
    </w:p>
    <w:p>
      <w:pPr>
        <w:pStyle w:val="Heading1"/>
      </w:pPr>
      <w:r>
        <w:t xml:space="preserve">Article 1: Definitions</w:t>
      </w:r>
    </w:p>
    <w:p>
      <w:pPr>
        <w:spacing w:after="200"/>
      </w:pPr>
      <w:r>
        <w:rPr>
          <w:color w:val="475569"/>
          <w:sz w:val="24"/>
          <w:szCs w:val="24"/>
        </w:rPr>
        <w:t xml:space="preserve">For purposes of this Agreement, the following terms shall have the meanings set forth below. Services means the B2B lead generation services described in Article 2. Qualified Meeting means a scheduled meeting between Client and a Prospect where the Prospect matches Client's ICP as defined in the Discovery Questionnaire, the meeting is confirmed and takes place, and the Prospect has decision-making authority or influence. Prospect means a potential customer contacted through the Services. ICP means Ideal Customer Profile as defined in the Discovery Questionnaire. Pilot Period means the initial ninety-day term of this Agreement. AI Engines means the five automated systems known as The Guardian, The Architect, The Scientist, The Hunter, and The Sentinel.</w:t>
      </w:r>
    </w:p>
    <w:p>
      <w:pPr>
        <w:pStyle w:val="Heading1"/>
      </w:pPr>
      <w:r>
        <w:t xml:space="preserve">Article 2: Scope of Services</w:t>
      </w:r>
    </w:p>
    <w:p>
      <w:pPr>
        <w:spacing w:after="200"/>
      </w:pPr>
      <w:r>
        <w:rPr>
          <w:color w:val="475569"/>
          <w:sz w:val="24"/>
          <w:szCs w:val="24"/>
        </w:rPr>
        <w:t xml:space="preserve">Provider shall deliver the following services during the Pilot Period. The services encompass comprehensive campaign development and management, including ICP definition and targeting strategy, email copy creation via The Architect, multi-sequence campaign design, A/B testing and optimization, and campaign monitoring and adjustments.</w:t>
      </w:r>
    </w:p>
    <w:p>
      <w:pPr>
        <w:spacing w:after="200"/>
      </w:pPr>
      <w:r>
        <w:rPr>
          <w:color w:val="475569"/>
          <w:sz w:val="24"/>
          <w:szCs w:val="24"/>
        </w:rPr>
        <w:t xml:space="preserve">Provider shall deliver compliance and deliverability services through The Guardian engine, including Do-Not-Contact verification, domain health monitoring, SPF, DKIM, and DMARC verification, blacklist monitoring, and spam complaint management.</w:t>
      </w:r>
    </w:p>
    <w:p>
      <w:pPr>
        <w:spacing w:after="200"/>
      </w:pPr>
      <w:r>
        <w:rPr>
          <w:color w:val="475569"/>
          <w:sz w:val="24"/>
          <w:szCs w:val="24"/>
        </w:rPr>
        <w:t xml:space="preserve">Provider shall deliver lead qualification and delivery services, including prospect identification matching ICP, email outreach execution, reply management and qualification, meeting scheduling coordination, and CRM integration and lead delivery.</w:t>
      </w:r>
    </w:p>
    <w:p>
      <w:pPr>
        <w:spacing w:after="200"/>
      </w:pPr>
      <w:r>
        <w:rPr>
          <w:color w:val="475569"/>
          <w:sz w:val="24"/>
          <w:szCs w:val="24"/>
        </w:rPr>
        <w:t xml:space="preserve">Provider shall deliver optimization and intelligence services through The Scientist for A/B testing and optimization, The Hunter for reply-based lead expansion, and The Sentinel for website visitor intelligence if enabled.</w:t>
      </w:r>
    </w:p>
    <w:p>
      <w:pPr>
        <w:spacing w:after="200"/>
      </w:pPr>
      <w:r>
        <w:rPr>
          <w:color w:val="475569"/>
          <w:sz w:val="24"/>
          <w:szCs w:val="24"/>
        </w:rPr>
        <w:t xml:space="preserve">Provider shall deliver reporting and analytics services, including weekly performance reports, real-time dashboard access, bi-weekly strategy calls, and quarterly business reviews.</w:t>
      </w:r>
    </w:p>
    <w:p>
      <w:pPr>
        <w:pStyle w:val="Heading2"/>
      </w:pPr>
      <w:r>
        <w:t xml:space="preserve">Client Responsibilities</w:t>
      </w:r>
    </w:p>
    <w:p>
      <w:pPr>
        <w:spacing w:after="200"/>
      </w:pPr>
      <w:r>
        <w:rPr>
          <w:color w:val="475569"/>
          <w:sz w:val="24"/>
          <w:szCs w:val="24"/>
        </w:rPr>
        <w:t xml:space="preserve">Client agrees to complete the Discovery Questionnaire within forty-eight hours, provide CRM access for lead delivery, provide customer and competitor exclusion lists, respond to copy approval requests within two business days, attend scheduled sync calls, provide timely feedback on lead quality, and maintain accurate meeting attribution in CRM.</w:t>
      </w:r>
    </w:p>
    <w:p>
      <w:r>
        <w:br w:type="page"/>
      </w:r>
    </w:p>
    <w:p>
      <w:pPr>
        <w:pStyle w:val="Heading1"/>
      </w:pPr>
      <w:r>
        <w:t xml:space="preserve">Article 3: Pricing and Payment</w:t>
      </w:r>
    </w:p>
    <w:p>
      <w:pPr>
        <w:spacing w:after="200"/>
      </w:pPr>
      <w:r>
        <w:rPr>
          <w:color w:val="475569"/>
          <w:sz w:val="24"/>
          <w:szCs w:val="24"/>
        </w:rPr>
        <w:t xml:space="preserve">The Founding Partner pricing structure for this engagement is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Item</w:t>
            </w:r>
          </w:p>
        </w:tc>
        <w:tc>
          <w:tcPr>
            <w:tcW w:type="dxa" w:w="468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Amount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Onboarding Fee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$2,500 (one-time, due upon signing)</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Monthly Retainer</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$2,000 per month</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b/>
                <w:bCs/>
                <w:color w:val="475569"/>
                <w:sz w:val="22"/>
                <w:szCs w:val="22"/>
              </w:rPr>
              <w:t xml:space="preserve">Performance Bonus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$250 per Qualified Meeting</w:t>
            </w:r>
          </w:p>
        </w:tc>
      </w:tr>
    </w:tbl>
    <w:p>
      <w:pPr>
        <w:spacing w:after="200"/>
      </w:pPr>
    </w:p>
    <w:p>
      <w:pPr>
        <w:spacing w:after="200"/>
      </w:pPr>
      <w:r>
        <w:rPr>
          <w:color w:val="475569"/>
          <w:sz w:val="24"/>
          <w:szCs w:val="24"/>
        </w:rPr>
        <w:t xml:space="preserve">Payment terms are Net 15, meaning all invoices are due within fifteen days of the invoice date. Client may take advantage of an early payment discount of two percent if payment is received within seven days. Invoices unpaid after fifteen days shall accrue interest at the rate of one and one-half percent per month. Monthly retainer invoices shall be issued on the first of each month, while meeting bonuses shall be invoiced weekly.</w:t>
      </w:r>
    </w:p>
    <w:p>
      <w:pPr>
        <w:spacing w:after="200"/>
      </w:pPr>
      <w:r>
        <w:rPr>
          <w:color w:val="475569"/>
          <w:sz w:val="24"/>
          <w:szCs w:val="24"/>
        </w:rPr>
        <w:t xml:space="preserve">Client's Founding Partner pricing is locked for the lifetime of continuous service. This represents approximately sixty percent savings compared to Official Client rates, which will apply to clients who join after the Founding Partner program concludes.</w:t>
      </w:r>
    </w:p>
    <w:p>
      <w:pPr>
        <w:pStyle w:val="Heading1"/>
      </w:pPr>
      <w:r>
        <w:t xml:space="preserve">Article 4: Term and Termination</w:t>
      </w:r>
    </w:p>
    <w:p>
      <w:pPr>
        <w:spacing w:after="200"/>
      </w:pPr>
      <w:r>
        <w:rPr>
          <w:color w:val="475569"/>
          <w:sz w:val="24"/>
          <w:szCs w:val="24"/>
        </w:rPr>
        <w:t xml:space="preserve">This Agreement begins on the Effective Date and continues for an initial Pilot Period of ninety days. After the Pilot Period, this Agreement automatically renews on a month-to-month basis unless either party provides thirty days written notice of termination.</w:t>
      </w:r>
    </w:p>
    <w:p>
      <w:pPr>
        <w:spacing w:after="200"/>
      </w:pPr>
      <w:r>
        <w:rPr>
          <w:color w:val="475569"/>
          <w:sz w:val="24"/>
          <w:szCs w:val="24"/>
        </w:rPr>
        <w:t xml:space="preserve">Either party may terminate immediately upon written notice if the other party materially breaches this Agreement and fails to cure within fifteen days of notice, becomes insolvent or files for bankruptcy, or engages in illegal or unethical conduct.</w:t>
      </w:r>
    </w:p>
    <w:p>
      <w:pPr>
        <w:spacing w:after="200"/>
      </w:pPr>
      <w:r>
        <w:rPr>
          <w:color w:val="475569"/>
          <w:sz w:val="24"/>
          <w:szCs w:val="24"/>
        </w:rPr>
        <w:t xml:space="preserve">If reply rate remains below three percent for thirty consecutive days despite good-faith optimization efforts, Client may terminate with fifteen days notice and receive a pro-rated refund of unused retainer.</w:t>
      </w:r>
    </w:p>
    <w:p>
      <w:pPr>
        <w:spacing w:after="200"/>
      </w:pPr>
      <w:r>
        <w:rPr>
          <w:color w:val="475569"/>
          <w:sz w:val="24"/>
          <w:szCs w:val="24"/>
        </w:rPr>
        <w:t xml:space="preserve">Upon termination, Provider will complete work-in-progress and deliver final reports, Client will pay all outstanding invoices within fifteen days, Provider will export and transfer all lead data to Client, and confidentiality obligations shall survive termination.</w:t>
      </w:r>
    </w:p>
    <w:p>
      <w:r>
        <w:br w:type="page"/>
      </w:r>
    </w:p>
    <w:p>
      <w:pPr>
        <w:pStyle w:val="Heading1"/>
      </w:pPr>
      <w:r>
        <w:t xml:space="preserve">Article 5: Performance Guarantees</w:t>
      </w:r>
    </w:p>
    <w:p>
      <w:pPr>
        <w:spacing w:after="200"/>
      </w:pPr>
      <w:r>
        <w:rPr>
          <w:color w:val="475569"/>
          <w:sz w:val="24"/>
          <w:szCs w:val="24"/>
        </w:rPr>
        <w:t xml:space="preserve">Provider guarantees minimum performance standards as follows: Reply Rate of three percent minimum after a thirty-day ramp period, Deliverability of ninety-five percent minimum inbox placement, Bounce Rate below three percent, and Spam Complaints below zero point one percent.</w:t>
      </w:r>
    </w:p>
    <w:p>
      <w:pPr>
        <w:spacing w:after="200"/>
      </w:pPr>
      <w:r>
        <w:rPr>
          <w:color w:val="475569"/>
          <w:sz w:val="24"/>
          <w:szCs w:val="24"/>
        </w:rPr>
        <w:t xml:space="preserve">If performance falls below guaranteed minimums, Provider will notify Client within twenty-four hours, implement a remediation plan within forty-eight hours, and if not resolved within thirty days, Client may invoke the termination provisions set forth in Article 4.</w:t>
      </w:r>
    </w:p>
    <w:p>
      <w:pPr>
        <w:pStyle w:val="Heading2"/>
      </w:pPr>
      <w:r>
        <w:t xml:space="preserve">Service Credits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Issue</w:t>
            </w:r>
          </w:p>
        </w:tc>
        <w:tc>
          <w:tcPr>
            <w:tcW w:type="dxa" w:w="3120"/>
            <w:tcBorders>
              <w:top w:val="single" w:color="E2E8F0" w:sz="1"/>
              <w:left w:val="single" w:color="E2E8F0" w:sz="1"/>
              <w:bottom w:val="single" w:color="E2E8F0" w:sz="1"/>
              <w:right w:val="single" w:color="E2E8F0" w:sz="1"/>
            </w:tcBorders>
            <w:shd w:fill="059669" w:val="clear"/>
            <w:tcMar>
              <w:top w:type="dxa" w:w="100"/>
              <w:left w:type="dxa" w:w="120"/>
              <w:bottom w:type="dxa" w:w="100"/>
              <w:right w:type="dxa" w:w="120"/>
            </w:tcMar>
          </w:tcPr>
          <w:p>
            <w:pPr>
              <w:jc w:val="center"/>
            </w:pPr>
            <w:r>
              <w:rPr>
                <w:b/>
                <w:bCs/>
                <w:color w:val="FFFFFF"/>
                <w:sz w:val="22"/>
                <w:szCs w:val="22"/>
              </w:rPr>
              <w:t xml:space="preserve">Credit</w:t>
            </w:r>
          </w:p>
        </w:tc>
      </w:tr>
      <w:tr>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P1 Response exceeds 2 hours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5% of monthly retainer</w:t>
            </w:r>
          </w:p>
        </w:tc>
      </w:tr>
      <w:tr>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System uptime below 99.5%</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5% of monthly retainer</w:t>
            </w:r>
          </w:p>
        </w:tc>
      </w:tr>
      <w:tr>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Reply rate below 3% for 30+ days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10% of monthly retainer</w:t>
            </w:r>
          </w:p>
        </w:tc>
      </w:tr>
      <w:tr>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Maximum monthly credits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color w:val="475569"/>
                <w:sz w:val="22"/>
                <w:szCs w:val="22"/>
              </w:rPr>
              <w:t xml:space="preserve">25% of monthly retainer</w:t>
            </w:r>
          </w:p>
        </w:tc>
      </w:tr>
    </w:tbl>
    <w:p>
      <w:pPr>
        <w:spacing w:after="200"/>
      </w:pPr>
    </w:p>
    <w:p>
      <w:pPr>
        <w:pStyle w:val="Heading1"/>
      </w:pPr>
      <w:r>
        <w:t xml:space="preserve">Article 6: Meeting Attribution</w:t>
      </w:r>
    </w:p>
    <w:p>
      <w:pPr>
        <w:spacing w:after="200"/>
      </w:pPr>
      <w:r>
        <w:rPr>
          <w:color w:val="475569"/>
          <w:sz w:val="24"/>
          <w:szCs w:val="24"/>
        </w:rPr>
        <w:t xml:space="preserve">Meetings are attributed to Provider when the Prospect was first contacted through Provider's campaigns, the meeting is logged in Client's CRM with Provider's campaign source, and the meeting takes place without cancellation or no-show. Provider receives attribution credit for meetings booked within ninety days of initial outreach contact.</w:t>
      </w:r>
    </w:p>
    <w:p>
      <w:pPr>
        <w:spacing w:after="200"/>
      </w:pPr>
      <w:r>
        <w:rPr>
          <w:color w:val="475569"/>
          <w:sz w:val="24"/>
          <w:szCs w:val="24"/>
        </w:rPr>
        <w:t xml:space="preserve">Client shall provide read-only CRM access to verify meeting attribution. Provider may audit attribution quarterly. Disputes regarding meeting attribution shall be resolved in good faith. If unable to resolve within ten business days, parties agree to binding arbitration per Article 11.</w:t>
      </w:r>
    </w:p>
    <w:p>
      <w:pPr>
        <w:pStyle w:val="Heading1"/>
      </w:pPr>
      <w:r>
        <w:t xml:space="preserve">Article 7: Intellectual Property</w:t>
      </w:r>
    </w:p>
    <w:p>
      <w:pPr>
        <w:spacing w:after="200"/>
      </w:pPr>
      <w:r>
        <w:rPr>
          <w:color w:val="475569"/>
          <w:sz w:val="24"/>
          <w:szCs w:val="24"/>
        </w:rPr>
        <w:t xml:space="preserve">Provider retains all rights to AI Engine algorithms and systems, Master Library of email templates, proprietary methodologies and processes, and software, tools, and platforms.</w:t>
      </w:r>
    </w:p>
    <w:p>
      <w:pPr>
        <w:spacing w:after="200"/>
      </w:pPr>
      <w:r>
        <w:rPr>
          <w:color w:val="475569"/>
          <w:sz w:val="24"/>
          <w:szCs w:val="24"/>
        </w:rPr>
        <w:t xml:space="preserve">Client retains all rights to Client's brand, trademarks, and content, lead data generated through Services, and campaign performance data.</w:t>
      </w:r>
    </w:p>
    <w:p>
      <w:pPr>
        <w:spacing w:after="200"/>
      </w:pPr>
      <w:r>
        <w:rPr>
          <w:color w:val="475569"/>
          <w:sz w:val="24"/>
          <w:szCs w:val="24"/>
        </w:rPr>
        <w:t xml:space="preserve">Provider grants Client a non-exclusive license to use campaign materials created specifically for Client during the term of this Agreement.</w:t>
      </w:r>
    </w:p>
    <w:p>
      <w:r>
        <w:br w:type="page"/>
      </w:r>
    </w:p>
    <w:p>
      <w:pPr>
        <w:pStyle w:val="Heading1"/>
      </w:pPr>
      <w:r>
        <w:t xml:space="preserve">Article 8: Confidentiality</w:t>
      </w:r>
    </w:p>
    <w:p>
      <w:pPr>
        <w:spacing w:after="200"/>
      </w:pPr>
      <w:r>
        <w:rPr>
          <w:color w:val="475569"/>
          <w:sz w:val="24"/>
          <w:szCs w:val="24"/>
        </w:rPr>
        <w:t xml:space="preserve">Each party agrees to protect the other's confidential information, including but not limited to pricing and commercial terms, customer lists and data, technology and methodologies, and business strategies and plans.</w:t>
      </w:r>
    </w:p>
    <w:p>
      <w:pPr>
        <w:spacing w:after="200"/>
      </w:pPr>
      <w:r>
        <w:rPr>
          <w:color w:val="475569"/>
          <w:sz w:val="24"/>
          <w:szCs w:val="24"/>
        </w:rPr>
        <w:t xml:space="preserve">Confidential Information does not include information that is or becomes publicly available, was known prior to disclosure, is independently developed, or is disclosed with written consent.</w:t>
      </w:r>
    </w:p>
    <w:p>
      <w:pPr>
        <w:spacing w:after="200"/>
      </w:pPr>
      <w:r>
        <w:rPr>
          <w:color w:val="475569"/>
          <w:sz w:val="24"/>
          <w:szCs w:val="24"/>
        </w:rPr>
        <w:t xml:space="preserve">Confidentiality obligations survive termination for three years.</w:t>
      </w:r>
    </w:p>
    <w:p>
      <w:pPr>
        <w:pStyle w:val="Heading1"/>
      </w:pPr>
      <w:r>
        <w:t xml:space="preserve">Article 9: Limitation of Liability</w:t>
      </w:r>
    </w:p>
    <w:p>
      <w:pPr>
        <w:spacing w:after="200"/>
      </w:pPr>
      <w:r>
        <w:rPr>
          <w:color w:val="475569"/>
          <w:sz w:val="24"/>
          <w:szCs w:val="24"/>
        </w:rPr>
        <w:t xml:space="preserve">PROVIDER'S TOTAL LIABILITY UNDER THIS AGREEMENT SHALL NOT EXCEED THE TOTAL FEES PAID BY CLIENT IN THE TWELVE MONTHS PRECEDING THE CLAIM.</w:t>
      </w:r>
    </w:p>
    <w:p>
      <w:pPr>
        <w:spacing w:after="200"/>
      </w:pPr>
      <w:r>
        <w:rPr>
          <w:color w:val="475569"/>
          <w:sz w:val="24"/>
          <w:szCs w:val="24"/>
        </w:rPr>
        <w:t xml:space="preserve">NEITHER PARTY SHALL BE LIABLE FOR INDIRECT, INCIDENTAL, SPECIAL, CONSEQUENTIAL, OR PUNITIVE DAMAGES, INCLUDING LOST PROFITS, REGARDLESS OF CAUSE OF ACTION.</w:t>
      </w:r>
    </w:p>
    <w:p>
      <w:pPr>
        <w:spacing w:after="200"/>
      </w:pPr>
      <w:r>
        <w:rPr>
          <w:color w:val="475569"/>
          <w:sz w:val="24"/>
          <w:szCs w:val="24"/>
        </w:rPr>
        <w:t xml:space="preserve">The limitations in this Article do not apply to breach of confidentiality obligations, willful misconduct or gross negligence, or indemnification obligations.</w:t>
      </w:r>
    </w:p>
    <w:p>
      <w:pPr>
        <w:pStyle w:val="Heading1"/>
      </w:pPr>
      <w:r>
        <w:t xml:space="preserve">Article 10: Indemnification</w:t>
      </w:r>
    </w:p>
    <w:p>
      <w:pPr>
        <w:spacing w:after="200"/>
      </w:pPr>
      <w:r>
        <w:rPr>
          <w:color w:val="475569"/>
          <w:sz w:val="24"/>
          <w:szCs w:val="24"/>
        </w:rPr>
        <w:t xml:space="preserve">Provider shall indemnify Client against claims arising from Provider's violation of applicable laws including CAN-SPAM, GDPR, and CCPA, Provider's negligence or willful misconduct, and infringement of third-party intellectual property.</w:t>
      </w:r>
    </w:p>
    <w:p>
      <w:pPr>
        <w:spacing w:after="200"/>
      </w:pPr>
      <w:r>
        <w:rPr>
          <w:color w:val="475569"/>
          <w:sz w:val="24"/>
          <w:szCs w:val="24"/>
        </w:rPr>
        <w:t xml:space="preserve">Client shall indemnify Provider against claims arising from Client's products, services, or content, Client's breach of this Agreement, and Client's violations of applicable laws.</w:t>
      </w:r>
    </w:p>
    <w:p>
      <w:pPr>
        <w:pStyle w:val="Heading1"/>
      </w:pPr>
      <w:r>
        <w:t xml:space="preserve">Article 11: General Provisions</w:t>
      </w:r>
    </w:p>
    <w:p>
      <w:pPr>
        <w:spacing w:after="200"/>
      </w:pPr>
      <w:r>
        <w:rPr>
          <w:color w:val="475569"/>
          <w:sz w:val="24"/>
          <w:szCs w:val="24"/>
        </w:rPr>
        <w:t xml:space="preserve">This Agreement is governed by the laws of the State of California. Disputes shall be resolved through binding arbitration administered by the American Arbitration Association under Commercial Arbitration Rules in Los Angeles, California. Neither party is liable for delays due to circumstances beyond reasonable control. This Agreement, including all exhibits, constitutes the entire agreement between the parties. Amendments must be in writing and signed by both parties. Neither party may assign this Agreement without written consent.</w:t>
      </w:r>
    </w:p>
    <w:p>
      <w:r>
        <w:br w:type="page"/>
      </w:r>
    </w:p>
    <w:p>
      <w:pPr>
        <w:pStyle w:val="Heading1"/>
      </w:pPr>
      <w:r>
        <w:t xml:space="preserve">Signatures</w:t>
      </w:r>
    </w:p>
    <w:p>
      <w:pPr>
        <w:spacing w:after="300"/>
      </w:pPr>
    </w:p>
    <w:p>
      <w:pPr>
        <w:spacing w:after="200"/>
      </w:pPr>
      <w:r>
        <w:rPr>
          <w:color w:val="475569"/>
          <w:sz w:val="24"/>
          <w:szCs w:val="24"/>
        </w:rPr>
        <w:t xml:space="preserve">XGROWTHOS</w:t>
      </w:r>
    </w:p>
    <w:p>
      <w:pPr>
        <w:spacing w:after="100"/>
      </w:pPr>
    </w:p>
    <w:p>
      <w:pPr>
        <w:spacing w:after="200"/>
      </w:pPr>
      <w:r>
        <w:rPr>
          <w:color w:val="475569"/>
          <w:sz w:val="24"/>
          <w:szCs w:val="24"/>
        </w:rPr>
        <w:t xml:space="preserve">Signature: _____________________________________________</w:t>
      </w:r>
    </w:p>
    <w:p>
      <w:pPr>
        <w:spacing w:after="200"/>
      </w:pPr>
      <w:r>
        <w:rPr>
          <w:color w:val="475569"/>
          <w:sz w:val="24"/>
          <w:szCs w:val="24"/>
        </w:rPr>
        <w:t xml:space="preserve">Name: Marcos Matthews</w:t>
      </w:r>
    </w:p>
    <w:p>
      <w:pPr>
        <w:spacing w:after="200"/>
      </w:pPr>
      <w:r>
        <w:rPr>
          <w:color w:val="475569"/>
          <w:sz w:val="24"/>
          <w:szCs w:val="24"/>
        </w:rPr>
        <w:t xml:space="preserve">Title: Founder &amp; CEO</w:t>
      </w:r>
    </w:p>
    <w:p>
      <w:pPr>
        <w:spacing w:after="200"/>
      </w:pPr>
      <w:r>
        <w:rPr>
          <w:color w:val="475569"/>
          <w:sz w:val="24"/>
          <w:szCs w:val="24"/>
        </w:rPr>
        <w:t xml:space="preserve">Date: _____________________________________________</w:t>
      </w:r>
    </w:p>
    <w:p>
      <w:pPr>
        <w:spacing w:after="300"/>
      </w:pPr>
    </w:p>
    <w:p>
      <w:pPr>
        <w:spacing w:after="200"/>
      </w:pPr>
      <w:r>
        <w:rPr>
          <w:color w:val="475569"/>
          <w:sz w:val="24"/>
          <w:szCs w:val="24"/>
        </w:rPr>
        <w:t xml:space="preserve">CLIENT</w:t>
      </w:r>
    </w:p>
    <w:p>
      <w:pPr>
        <w:spacing w:after="100"/>
      </w:pPr>
    </w:p>
    <w:p>
      <w:pPr>
        <w:spacing w:after="200"/>
      </w:pPr>
      <w:r>
        <w:rPr>
          <w:color w:val="475569"/>
          <w:sz w:val="24"/>
          <w:szCs w:val="24"/>
        </w:rPr>
        <w:t xml:space="preserve">Signature: _____________________________________________</w:t>
      </w:r>
    </w:p>
    <w:p>
      <w:pPr>
        <w:spacing w:after="200"/>
      </w:pPr>
      <w:r>
        <w:rPr>
          <w:color w:val="475569"/>
          <w:sz w:val="24"/>
          <w:szCs w:val="24"/>
        </w:rPr>
        <w:t xml:space="preserve">Name: _____________________________________________</w:t>
      </w:r>
    </w:p>
    <w:p>
      <w:pPr>
        <w:spacing w:after="200"/>
      </w:pPr>
      <w:r>
        <w:rPr>
          <w:color w:val="475569"/>
          <w:sz w:val="24"/>
          <w:szCs w:val="24"/>
        </w:rPr>
        <w:t xml:space="preserve">Title: _____________________________________________</w:t>
      </w:r>
    </w:p>
    <w:p>
      <w:pPr>
        <w:spacing w:after="200"/>
      </w:pPr>
      <w:r>
        <w:rPr>
          <w:color w:val="475569"/>
          <w:sz w:val="24"/>
          <w:szCs w:val="24"/>
        </w:rPr>
        <w:t xml:space="preserve">Company: _____________________________________________</w:t>
      </w:r>
    </w:p>
    <w:p>
      <w:pPr>
        <w:spacing w:after="200"/>
      </w:pPr>
      <w:r>
        <w:rPr>
          <w:color w:val="475569"/>
          <w:sz w:val="24"/>
          <w:szCs w:val="24"/>
        </w:rPr>
        <w:t xml:space="preserve">Date: _____________________________________________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Pilot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2026-01-24T03:05:24.588Z</dcterms:created>
  <dcterms:modified xsi:type="dcterms:W3CDTF">2026-01-24T03:05:24.588Z</dcterms:modified>
</cp:coreProperties>
</file>

<file path=docProps/custom.xml><?xml version="1.0" encoding="utf-8"?>
<Properties xmlns="http://schemas.openxmlformats.org/officeDocument/2006/custom-properties" xmlns:vt="http://schemas.openxmlformats.org/officeDocument/2006/docPropsVTypes"/>
</file>