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right"/>
      </w:pPr>
      <w:r>
        <w:rPr>
          <w:color w:val="64748B"/>
          <w:sz w:val="20"/>
          <w:szCs w:val="20"/>
        </w:rPr>
        <w:t xml:space="preserve">XG-DOC-009</w:t>
      </w:r>
    </w:p>
    <w:p>
      <w:pPr>
        <w:spacing w:after="150"/>
        <w:jc w:val="center"/>
      </w:pPr>
      <w:r>
        <w:rPr>
          <w:b/>
          <w:bCs/>
          <w:color w:val="0F172A"/>
          <w:sz w:val="56"/>
          <w:szCs w:val="56"/>
        </w:rPr>
        <w:t xml:space="preserve">Troubleshooting Guide</w:t>
      </w:r>
    </w:p>
    <w:p>
      <w:pPr>
        <w:spacing w:after="400"/>
        <w:jc w:val="center"/>
      </w:pPr>
      <w:r>
        <w:rPr>
          <w:color w:val="059669"/>
          <w:sz w:val="26"/>
          <w:szCs w:val="26"/>
        </w:rPr>
        <w:t xml:space="preserve">Diagnostic and Resolution Procedures</w:t>
      </w:r>
    </w:p>
    <w:p>
      <w:pPr>
        <w:spacing w:after="300"/>
        <w:jc w:val="center"/>
      </w:pPr>
      <w:r>
        <w:rPr>
          <w:b/>
          <w:bCs/>
          <w:color w:val="EF4444"/>
          <w:sz w:val="28"/>
          <w:szCs w:val="28"/>
        </w:rPr>
        <w:t xml:space="preserve">INTERNAL USE ONLY</w:t>
      </w:r>
    </w:p>
    <w:p>
      <w:pPr>
        <w:pStyle w:val="Heading1"/>
      </w:pPr>
      <w:r>
        <w:t xml:space="preserve">Deliverability Issues</w:t>
      </w:r>
    </w:p>
    <w:p>
      <w:pPr>
        <w:pStyle w:val="Heading2"/>
      </w:pPr>
      <w:r>
        <w:t xml:space="preserve">Low Inbox Placement (Below 90%)</w:t>
      </w:r>
    </w:p>
    <w:p>
      <w:pPr>
        <w:spacing w:after="200"/>
      </w:pPr>
      <w:r>
        <w:rPr>
          <w:color w:val="475569"/>
          <w:sz w:val="24"/>
          <w:szCs w:val="24"/>
        </w:rPr>
        <w:t xml:space="preserve">Symptoms of low inbox placement include sudden drops in open rates, replies stopping unexpectedly, and test emails landing in spam folders rather than the primary inbox.</w:t>
      </w:r>
    </w:p>
    <w:p>
      <w:pPr>
        <w:spacing w:after="200"/>
      </w:pPr>
      <w:r>
        <w:rPr>
          <w:color w:val="475569"/>
          <w:sz w:val="24"/>
          <w:szCs w:val="24"/>
        </w:rPr>
        <w:t xml:space="preserve">Diagnostic steps begin with checking the domain health score in the Guardian dashboard. Next, verify SPF, DKIM, and DMARC records using MXToolbox. Check Google Postmaster Tools for spam rate data. Check Microsoft SNDS for reputation scores. Run a blacklist check across all major blacklist services.</w:t>
      </w:r>
    </w:p>
    <w:p>
      <w:pPr>
        <w:spacing w:after="200"/>
      </w:pPr>
      <w:r>
        <w:rPr>
          <w:color w:val="475569"/>
          <w:sz w:val="24"/>
          <w:szCs w:val="24"/>
        </w:rPr>
        <w:t xml:space="preserve">Common causes and solutions include SPF failure, which requires updating the DNS record and checking that the include limit of ten is not exceeded. DKIM failure requires regenerating the DKIM key and verifying DNS propagation. DMARC failure requires checking alignment settings and updating the policy. Blacklisting requires requesting removal from the specific blacklist and investigating the root cause. High spam rate requires pausing campaigns immediately and reviewing content for trigger words.</w:t>
      </w:r>
    </w:p>
    <w:p>
      <w:pPr>
        <w:spacing w:after="200"/>
      </w:pPr>
      <w:r>
        <w:rPr>
          <w:color w:val="475569"/>
          <w:sz w:val="24"/>
          <w:szCs w:val="24"/>
        </w:rPr>
        <w:t xml:space="preserve">Resolution timelines vary by issue type. SPF, DKIM, and DMARC issues typically resolve within twenty-four to forty-eight hours for DNS propagation. Blacklist removal takes twenty-four to seventy-two hours depending on the blacklist. Reputation recovery can take two to four weeks of careful sending.</w:t>
      </w:r>
    </w:p>
    <w:p>
      <w:pPr>
        <w:pStyle w:val="Heading2"/>
      </w:pPr>
      <w:r>
        <w:t xml:space="preserve">High Bounce Rate (Above 2%)</w:t>
      </w:r>
    </w:p>
    <w:p>
      <w:pPr>
        <w:spacing w:after="200"/>
      </w:pPr>
      <w:r>
        <w:rPr>
          <w:color w:val="475569"/>
          <w:sz w:val="24"/>
          <w:szCs w:val="24"/>
        </w:rPr>
        <w:t xml:space="preserve">Symptoms include bounce rate spikes appearing suddenly, specific domains or campaigns being affected disproportionately, and ISP rejection notices appearing in logs.</w:t>
      </w:r>
    </w:p>
    <w:p>
      <w:pPr>
        <w:spacing w:after="200"/>
      </w:pPr>
      <w:r>
        <w:rPr>
          <w:color w:val="475569"/>
          <w:sz w:val="24"/>
          <w:szCs w:val="24"/>
        </w:rPr>
        <w:t xml:space="preserve">Diagnostic steps include reviewing bounce codes to distinguish between hard and soft bounces, checking the list source and age of data, verifying that email validation was run before uploading, and checking for domain-specific patterns.</w:t>
      </w:r>
    </w:p>
    <w:p>
      <w:pPr>
        <w:spacing w:after="200"/>
      </w:pPr>
      <w:r>
        <w:rPr>
          <w:color w:val="475569"/>
          <w:sz w:val="24"/>
          <w:szCs w:val="24"/>
        </w:rPr>
        <w:t xml:space="preserve">For hard bounces with 5xx codes indicating invalid email addresses, the solution is to remove affected addresses from the list and improve validation processes. For soft bounces with 4xx codes indicating temporary failures like full mailboxes, the solution is to retry later and remove addresses after three consecutive failures. For blocks indicating IP or domain blocking, the solution is to investigate reputation issues and consider warming a new IP.</w:t>
      </w:r>
    </w:p>
    <w:p>
      <w:r>
        <w:br w:type="page"/>
      </w:r>
    </w:p>
    <w:p>
      <w:pPr>
        <w:pStyle w:val="Heading1"/>
      </w:pPr>
      <w:r>
        <w:t xml:space="preserve">Performance Issues</w:t>
      </w:r>
    </w:p>
    <w:p>
      <w:pPr>
        <w:pStyle w:val="Heading2"/>
      </w:pPr>
      <w:r>
        <w:t xml:space="preserve">Low Open Rates (Below 20%)</w:t>
      </w:r>
    </w:p>
    <w:p>
      <w:pPr>
        <w:spacing w:after="200"/>
      </w:pPr>
      <w:r>
        <w:rPr>
          <w:color w:val="475569"/>
          <w:sz w:val="24"/>
          <w:szCs w:val="24"/>
        </w:rPr>
        <w:t xml:space="preserve">Symptoms of low open rates include opens consistently below twenty percent, other metrics like clicks and replies being proportionally low, and the pattern being consistent across multiple sends.</w:t>
      </w:r>
    </w:p>
    <w:p>
      <w:pPr>
        <w:spacing w:after="200"/>
      </w:pPr>
      <w:r>
        <w:rPr>
          <w:color w:val="475569"/>
          <w:sz w:val="24"/>
          <w:szCs w:val="24"/>
        </w:rPr>
        <w:t xml:space="preserve">Before investigating copy issues, first check deliverability. If emails are not reaching inboxes, open rates will be artificially low regardless of subject line quality.</w:t>
      </w:r>
    </w:p>
    <w:p>
      <w:pPr>
        <w:spacing w:after="200"/>
      </w:pPr>
      <w:r>
        <w:rPr>
          <w:color w:val="475569"/>
          <w:sz w:val="24"/>
          <w:szCs w:val="24"/>
        </w:rPr>
        <w:t xml:space="preserve">If deliverability is confirmed, analyze subject line performance across all variants. Review send times against optimal windows. Check from name and address configuration for clarity and trust.</w:t>
      </w:r>
    </w:p>
    <w:p>
      <w:pPr>
        <w:spacing w:after="200"/>
      </w:pPr>
      <w:r>
        <w:rPr>
          <w:color w:val="475569"/>
          <w:sz w:val="24"/>
          <w:szCs w:val="24"/>
        </w:rPr>
        <w:t xml:space="preserve">Common causes include poor subject lines that lack hooks or personalization, wrong send times that miss recipient availability windows, unclear from names that do not identify the sender, landing in spam due to underlying deliverability issues, and list fatigue from over-contacting the same prospects.</w:t>
      </w:r>
    </w:p>
    <w:p>
      <w:pPr>
        <w:spacing w:after="200"/>
      </w:pPr>
      <w:r>
        <w:rPr>
          <w:color w:val="475569"/>
          <w:sz w:val="24"/>
          <w:szCs w:val="24"/>
        </w:rPr>
        <w:t xml:space="preserve">Optimization tactics include testing timeline hooks which achieve ten percent or higher reply rates, using first name personalization in subject lines, keeping subjects under fifty characters, testing lowercase versus title case formatting, and implementing aggressive A/B testing protocols.</w:t>
      </w:r>
    </w:p>
    <w:p>
      <w:pPr>
        <w:pStyle w:val="Heading2"/>
      </w:pPr>
      <w:r>
        <w:t xml:space="preserve">Low Reply Rates (Below 3%)</w:t>
      </w:r>
    </w:p>
    <w:p>
      <w:pPr>
        <w:spacing w:after="200"/>
      </w:pPr>
      <w:r>
        <w:rPr>
          <w:color w:val="475569"/>
          <w:sz w:val="24"/>
          <w:szCs w:val="24"/>
        </w:rPr>
        <w:t xml:space="preserve">Symptoms include good open rates but low reply rates, campaigns running for thirty or more days without improvement, and optimization efforts not moving the needle.</w:t>
      </w:r>
    </w:p>
    <w:p>
      <w:pPr>
        <w:spacing w:after="200"/>
      </w:pPr>
      <w:r>
        <w:rPr>
          <w:color w:val="475569"/>
          <w:sz w:val="24"/>
          <w:szCs w:val="24"/>
        </w:rPr>
        <w:t xml:space="preserve">Diagnostic steps begin with verifying ICP match to ensure we are reaching the right people. Analyze sentiment of existing replies to understand objections. Review email copy for clarity and value proposition. Check call-to-action clarity and simplicity. Review sequence length and timing between touches.</w:t>
      </w:r>
    </w:p>
    <w:p>
      <w:pPr>
        <w:spacing w:after="200"/>
      </w:pPr>
      <w:r>
        <w:rPr>
          <w:color w:val="475569"/>
          <w:sz w:val="24"/>
          <w:szCs w:val="24"/>
        </w:rPr>
        <w:t xml:space="preserve">Common causes include wrong ICP definition resulting in messages reaching people who do not need the solution, weak value proposition that does not resonate with prospects, unclear call-to-action that confuses recipients about next steps, emails that are too long and lose attention, lack of personalization making emails feel generic, and wrong timing in the sequence cadence.</w:t>
      </w:r>
    </w:p>
    <w:p>
      <w:pPr>
        <w:spacing w:after="200"/>
      </w:pPr>
      <w:r>
        <w:rPr>
          <w:color w:val="475569"/>
          <w:sz w:val="24"/>
          <w:szCs w:val="24"/>
        </w:rPr>
        <w:t xml:space="preserve">Advanced diagnostics include comparing performance to industry benchmarks, reviewing competitor messaging for insights, surveying a small sample of non-responders if possible, and testing completely different messaging angles.</w:t>
      </w:r>
    </w:p>
    <w:p>
      <w:r>
        <w:br w:type="page"/>
      </w:r>
    </w:p>
    <w:p>
      <w:pPr>
        <w:pStyle w:val="Heading1"/>
      </w:pPr>
      <w:r>
        <w:t xml:space="preserve">Domain Health Recovery</w:t>
      </w:r>
    </w:p>
    <w:p>
      <w:pPr>
        <w:pStyle w:val="Heading2"/>
      </w:pPr>
      <w:r>
        <w:t xml:space="preserve">Blacklist Removal Process</w:t>
      </w:r>
    </w:p>
    <w:p>
      <w:pPr>
        <w:spacing w:after="200"/>
      </w:pPr>
      <w:r>
        <w:rPr>
          <w:color w:val="475569"/>
          <w:sz w:val="24"/>
          <w:szCs w:val="24"/>
        </w:rPr>
        <w:t xml:space="preserve">Step one is to identify all listings. Run a comprehensive check using mxtoolbox.com/blacklists.aspx. Document which lists show the domain. Note severity, distinguishing between major lists like Spamhaus versus minor lists.</w:t>
      </w:r>
    </w:p>
    <w:p>
      <w:pPr>
        <w:spacing w:after="200"/>
      </w:pPr>
      <w:r>
        <w:rPr>
          <w:color w:val="475569"/>
          <w:sz w:val="24"/>
          <w:szCs w:val="24"/>
        </w:rPr>
        <w:t xml:space="preserve">Step two is to investigate the root cause. Review recent send activity for anomalies. Check for complaint spikes. Identify any compromised accounts if relevant. Document findings for post-mortem.</w:t>
      </w:r>
    </w:p>
    <w:p>
      <w:pPr>
        <w:spacing w:after="200"/>
      </w:pPr>
      <w:r>
        <w:rPr>
          <w:color w:val="475569"/>
          <w:sz w:val="24"/>
          <w:szCs w:val="24"/>
        </w:rPr>
        <w:t xml:space="preserve">Step three is to request removal. For Spamhaus, submit a request at spamhaus.org. For Barracuda, request removal at barracudacentral.org. SpamCop typically auto-expires after sending stops. For SORBS, submit at sorbs.net. CBL usually auto-expires but accepts submissions.</w:t>
      </w:r>
    </w:p>
    <w:p>
      <w:pPr>
        <w:spacing w:after="200"/>
      </w:pPr>
      <w:r>
        <w:rPr>
          <w:color w:val="475569"/>
          <w:sz w:val="24"/>
          <w:szCs w:val="24"/>
        </w:rPr>
        <w:t xml:space="preserve">Step four is to prevent recurrence. Address the identified root cause. Improve list hygiene processes. Adjust sending practices as needed. Implement closer monitoring going forward.</w:t>
      </w:r>
    </w:p>
    <w:p>
      <w:pPr>
        <w:pStyle w:val="Heading2"/>
      </w:pPr>
      <w:r>
        <w:t xml:space="preserve">Domain Warmup Recovery</w:t>
      </w:r>
    </w:p>
    <w:p>
      <w:pPr>
        <w:spacing w:after="200"/>
      </w:pPr>
      <w:r>
        <w:rPr>
          <w:color w:val="475569"/>
          <w:sz w:val="24"/>
          <w:szCs w:val="24"/>
        </w:rPr>
        <w:t xml:space="preserve">If warmup has stalled or been reset due to issues, follow this recovery protocol. Reduce daily volume to ten to twenty emails per domain. Send only to the most engaged segments of your list. Focus on generating opens and replies rather than volume. Gradually increase over two to four weeks while monitoring reputation. Check reputation daily using Postmaster Tools.</w:t>
      </w:r>
    </w:p>
    <w:p>
      <w:pPr>
        <w:spacing w:after="200"/>
      </w:pPr>
      <w:r>
        <w:rPr>
          <w:color w:val="475569"/>
          <w:sz w:val="24"/>
          <w:szCs w:val="24"/>
        </w:rPr>
        <w:t xml:space="preserve">The recovery warmup schedule is as follows. Week one sends ten to twenty emails daily with a focus on engagement. Week two increases to twenty to thirty emails daily while expanding cautiously. Week three increases to thirty to forty emails daily while monitoring reputation closely. Week four reaches forty to fifty emails daily, which is full production volume.</w:t>
      </w:r>
    </w:p>
    <w:p>
      <w:pPr>
        <w:pStyle w:val="Heading1"/>
      </w:pPr>
      <w:r>
        <w:t xml:space="preserve">Gmail AI Filter Considerations (2025)</w:t>
      </w:r>
    </w:p>
    <w:p>
      <w:pPr>
        <w:spacing w:after="200"/>
      </w:pPr>
      <w:r>
        <w:rPr>
          <w:color w:val="475569"/>
          <w:sz w:val="24"/>
          <w:szCs w:val="24"/>
        </w:rPr>
        <w:t xml:space="preserve">A key insight for 2025 is that Gmail's AI filters now prioritize content relevance over sender reputation alone. This represents a significant shift from previous filtering approaches.</w:t>
      </w:r>
    </w:p>
    <w:p>
      <w:pPr>
        <w:spacing w:after="200"/>
      </w:pPr>
      <w:r>
        <w:rPr>
          <w:color w:val="475569"/>
          <w:sz w:val="24"/>
          <w:szCs w:val="24"/>
        </w:rPr>
        <w:t xml:space="preserve">The implications of this change are substantial. Generic, templated emails are more likely to be filtered even from domains with good reputation. Personalization has become more important than ever before. Engagement signals are heavily weighted in filtering decisions. Content quality matters more than technical configuration.</w:t>
      </w:r>
    </w:p>
    <w:p>
      <w:pPr>
        <w:spacing w:after="200"/>
      </w:pPr>
      <w:r>
        <w:rPr>
          <w:color w:val="475569"/>
          <w:sz w:val="24"/>
          <w:szCs w:val="24"/>
        </w:rPr>
        <w:t xml:space="preserve">Optimization strategies for AI filters include using natural, conversational language rather than marketing speak. Avoid obvious template patterns that signals automation. Include specific, relevant details that demonstrate research. Focus on providing value rather than making sales pitches. Personalize beyond just first name to include company context, role relevance, and timely triggers. Reference specific company or role context that shows genuine understanding.</w:t>
      </w:r>
    </w:p>
    <w:p>
      <w:pPr>
        <w:spacing w:before="400" w:after="200"/>
        <w:jc w:val="center"/>
      </w:pPr>
      <w:r>
        <w:rPr>
          <w:color w:val="E2E8F0"/>
        </w:rPr>
        <w:t xml:space="preserve">────────────────────────────────────────────────────────────</w:t>
      </w:r>
    </w:p>
    <w:p>
      <w:pPr>
        <w:jc w:val="center"/>
      </w:pPr>
      <w:r>
        <w:rPr>
          <w:b/>
          <w:bCs/>
          <w:color w:val="059669"/>
          <w:sz w:val="22"/>
          <w:szCs w:val="22"/>
        </w:rPr>
        <w:t xml:space="preserve">XGrowthOS</w:t>
      </w:r>
      <w:r>
        <w:rPr>
          <w:color w:val="64748B"/>
          <w:sz w:val="20"/>
          <w:szCs w:val="20"/>
        </w:rPr>
        <w:t xml:space="preserve">  •  Autonomous B2B Lead Generation Platform</w:t>
      </w:r>
    </w:p>
    <w:p>
      <w:pPr>
        <w:jc w:val="center"/>
      </w:pPr>
      <w:r>
        <w:rPr>
          <w:color w:val="64748B"/>
          <w:sz w:val="20"/>
          <w:szCs w:val="20"/>
        </w:rPr>
        <w:t xml:space="preserve">support@xgrowthos.com  •  xgrowthos.com</w:t>
      </w:r>
    </w:p>
    <w:p>
      <w:pPr>
        <w:jc w:val="center"/>
      </w:pPr>
      <w:r>
        <w:rPr>
          <w:i/>
          <w:iCs/>
          <w:color w:val="64748B"/>
          <w:sz w:val="18"/>
          <w:szCs w:val="18"/>
        </w:rPr>
        <w:t xml:space="preserve">Document Version 2.0  •  January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Confidential  |  Page </w:t>
    </w:r>
    <w:r>
      <w:rPr>
        <w:color w:val="64748B"/>
        <w:sz w:val="18"/>
        <w:szCs w:val="18"/>
      </w:rPr>
      <w:fldChar w:fldCharType="begin"/>
      <w:instrText xml:space="preserve">PAGE</w:instrText>
      <w:fldChar w:fldCharType="separate"/>
      <w:fldChar w:fldCharType="end"/>
    </w:r>
    <w:r>
      <w:rPr>
        <w:color w:val="64748B"/>
        <w:sz w:val="18"/>
        <w:szCs w:val="18"/>
      </w:rPr>
      <w:t xml:space="preserve"> of </w:t>
    </w:r>
    <w:r>
      <w:rPr>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059669"/>
        <w:sz w:val="20"/>
        <w:szCs w:val="20"/>
      </w:rPr>
      <w:t xml:space="preserve">XGrowthOS</w:t>
    </w:r>
    <w:r>
      <w:rPr>
        <w:color w:val="64748B"/>
        <w:sz w:val="20"/>
        <w:szCs w:val="20"/>
      </w:rPr>
      <w:t xml:space="preserve">  |  Troubleshooting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pPr>
    <w:rPr>
      <w:b/>
      <w:bCs/>
      <w:color w:val="0F172A"/>
      <w:sz w:val="48"/>
      <w:szCs w:val="48"/>
    </w:rPr>
  </w:style>
  <w:style w:type="paragraph" w:styleId="Heading2">
    <w:name w:val="Heading 2"/>
    <w:basedOn w:val="Normal"/>
    <w:next w:val="Normal"/>
    <w:qFormat/>
    <w:pPr>
      <w:spacing w:before="300" w:after="150"/>
    </w:pPr>
    <w:rPr>
      <w:b/>
      <w:bCs/>
      <w:color w:val="0F172A"/>
      <w:sz w:val="32"/>
      <w:szCs w:val="32"/>
    </w:rPr>
  </w:style>
  <w:style w:type="paragraph" w:styleId="Heading3">
    <w:name w:val="Heading 3"/>
    <w:basedOn w:val="Normal"/>
    <w:next w:val="Normal"/>
    <w:qFormat/>
    <w:pPr>
      <w:spacing w:before="240" w:after="120"/>
    </w:pPr>
    <w:rPr>
      <w:b/>
      <w:bCs/>
      <w:color w:val="05966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2026-01-24T03:09:13.228Z</dcterms:created>
  <dcterms:modified xsi:type="dcterms:W3CDTF">2026-01-24T03:09:13.228Z</dcterms:modified>
</cp:coreProperties>
</file>

<file path=docProps/custom.xml><?xml version="1.0" encoding="utf-8"?>
<Properties xmlns="http://schemas.openxmlformats.org/officeDocument/2006/custom-properties" xmlns:vt="http://schemas.openxmlformats.org/officeDocument/2006/docPropsVTypes"/>
</file>