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right"/>
      </w:pPr>
      <w:r>
        <w:rPr>
          <w:color w:val="64748B"/>
          <w:sz w:val="20"/>
          <w:szCs w:val="20"/>
        </w:rPr>
        <w:t xml:space="preserve">XG-DOC-019</w:t>
      </w:r>
    </w:p>
    <w:p>
      <w:pPr>
        <w:spacing w:after="150"/>
        <w:jc w:val="center"/>
      </w:pPr>
      <w:r>
        <w:rPr>
          <w:b/>
          <w:bCs/>
          <w:color w:val="0F172A"/>
          <w:sz w:val="56"/>
          <w:szCs w:val="56"/>
        </w:rPr>
        <w:t xml:space="preserve">Offboarding Checklist</w:t>
      </w:r>
    </w:p>
    <w:p>
      <w:pPr>
        <w:spacing w:after="400"/>
        <w:jc w:val="center"/>
      </w:pPr>
      <w:r>
        <w:rPr>
          <w:color w:val="059669"/>
          <w:sz w:val="26"/>
          <w:szCs w:val="26"/>
        </w:rPr>
        <w:t xml:space="preserve">Client Transition Procedures</w:t>
      </w:r>
    </w:p>
    <w:p>
      <w:pPr>
        <w:spacing w:after="300"/>
        <w:jc w:val="center"/>
      </w:pPr>
      <w:r>
        <w:rPr>
          <w:b/>
          <w:bCs/>
          <w:color w:val="EF4444"/>
          <w:sz w:val="28"/>
          <w:szCs w:val="28"/>
        </w:rPr>
        <w:t xml:space="preserve">INTERNAL USE ONLY</w:t>
      </w:r>
    </w:p>
    <w:p>
      <w:pPr>
        <w:pStyle w:val="Heading1"/>
      </w:pPr>
      <w:r>
        <w:t xml:space="preserve">Overview</w:t>
      </w:r>
    </w:p>
    <w:p>
      <w:pPr>
        <w:spacing w:after="200"/>
      </w:pPr>
      <w:r>
        <w:rPr>
          <w:color w:val="475569"/>
          <w:sz w:val="24"/>
          <w:szCs w:val="24"/>
        </w:rPr>
        <w:t xml:space="preserve">This document outlines the procedures for professionally transitioning a client off of XGrowthOS services, ensuring data handover, proper account closure, and maintaining positive relationships.</w:t>
      </w:r>
    </w:p>
    <w:p>
      <w:pPr>
        <w:pStyle w:val="Heading1"/>
      </w:pPr>
      <w:r>
        <w:t xml:space="preserve">Phase 1: Termination Notification (Days 0-7)</w:t>
      </w:r>
    </w:p>
    <w:p>
      <w:pPr>
        <w:pStyle w:val="Heading2"/>
      </w:pPr>
      <w:r>
        <w:t xml:space="preserve">Immediate Actions (Day 0)</w:t>
      </w:r>
    </w:p>
    <w:p>
      <w:pPr>
        <w:spacing w:after="200"/>
      </w:pPr>
      <w:r>
        <w:rPr>
          <w:color w:val="475569"/>
          <w:sz w:val="24"/>
          <w:szCs w:val="24"/>
        </w:rPr>
        <w:t xml:space="preserve">Confirm termination notice in writing. Document termination reason (exit survey if possible). Identify termination type: Standard termination (30-day notice), Performance termination (15-day notice per Section 4.4), Immediate termination for cause, or Mutual agreement termination. Calculate final service date. Notify internal team via Slack/email. Schedule wrap-up call with client.</w:t>
      </w:r>
    </w:p>
    <w:p>
      <w:pPr>
        <w:pStyle w:val="Heading2"/>
      </w:pPr>
      <w:r>
        <w:t xml:space="preserve">Administrative (Days 1-3)</w:t>
      </w:r>
    </w:p>
    <w:p>
      <w:pPr>
        <w:spacing w:after="200"/>
      </w:pPr>
      <w:r>
        <w:rPr>
          <w:color w:val="475569"/>
          <w:sz w:val="24"/>
          <w:szCs w:val="24"/>
        </w:rPr>
        <w:t xml:space="preserve">Update CRM status to Offboarding. Stop new campaign development. Review outstanding invoices. Calculate any pro-rated refunds due. Prepare final invoice estimate. Review contract for specific termination terms.</w:t>
      </w:r>
    </w:p>
    <w:p>
      <w:pPr>
        <w:pStyle w:val="Heading2"/>
      </w:pPr>
      <w:r>
        <w:t xml:space="preserve">Client Communication (Days 3-7)</w:t>
      </w:r>
    </w:p>
    <w:p>
      <w:pPr>
        <w:spacing w:after="200"/>
      </w:pPr>
      <w:r>
        <w:rPr>
          <w:color w:val="475569"/>
          <w:sz w:val="24"/>
          <w:szCs w:val="24"/>
        </w:rPr>
        <w:t xml:space="preserve">Send termination confirmation email. Confirm final service date. Schedule final wrap-up call. Outline data handover process. Discuss transition timeline.</w:t>
      </w:r>
    </w:p>
    <w:p>
      <w:pPr>
        <w:pStyle w:val="Heading1"/>
      </w:pPr>
      <w:r>
        <w:t xml:space="preserve">Phase 2: Campaign Wind-Down (Days 8-21)</w:t>
      </w:r>
    </w:p>
    <w:p>
      <w:pPr>
        <w:pStyle w:val="Heading2"/>
      </w:pPr>
      <w:r>
        <w:t xml:space="preserve">Week 2</w:t>
      </w:r>
    </w:p>
    <w:p>
      <w:pPr>
        <w:spacing w:after="200"/>
      </w:pPr>
      <w:r>
        <w:rPr>
          <w:color w:val="475569"/>
          <w:sz w:val="24"/>
          <w:szCs w:val="24"/>
        </w:rPr>
        <w:t xml:space="preserve">Pause all new sends. Allow in-flight sequences to complete. Continue monitoring and responding. Document all active campaigns. Export campaign performance data.</w:t>
      </w:r>
    </w:p>
    <w:p>
      <w:pPr>
        <w:pStyle w:val="Heading2"/>
      </w:pPr>
      <w:r>
        <w:t xml:space="preserve">Week 3</w:t>
      </w:r>
    </w:p>
    <w:p>
      <w:pPr>
        <w:spacing w:after="200"/>
      </w:pPr>
      <w:r>
        <w:rPr>
          <w:color w:val="475569"/>
          <w:sz w:val="24"/>
          <w:szCs w:val="24"/>
        </w:rPr>
        <w:t xml:space="preserve">Complete remaining follow-ups. Hand off any warm conversations. Prepare final optimization report. Document key learnings. Maintain domain health through transition.</w:t>
      </w:r>
    </w:p>
    <w:p>
      <w:r>
        <w:br w:type="page"/>
      </w:r>
    </w:p>
    <w:p>
      <w:pPr>
        <w:pStyle w:val="Heading1"/>
      </w:pPr>
      <w:r>
        <w:t xml:space="preserve">Phase 3: Data Handover (Days 22-28)</w:t>
      </w:r>
    </w:p>
    <w:p>
      <w:pPr>
        <w:pStyle w:val="Heading2"/>
      </w:pPr>
      <w:r>
        <w:t xml:space="preserve">Lead Data Export (CSV Format)</w:t>
      </w:r>
    </w:p>
    <w:p>
      <w:pPr>
        <w:spacing w:after="200"/>
      </w:pPr>
      <w:r>
        <w:rPr>
          <w:color w:val="475569"/>
          <w:sz w:val="24"/>
          <w:szCs w:val="24"/>
        </w:rPr>
        <w:t xml:space="preserve">Export all leads generated including: Full name, Email address, Company name, Title, Phone (if available), LinkedIn URL (if available), Lead source, Lead status, Campaign source, Date added, All engagement data.</w:t>
      </w:r>
    </w:p>
    <w:p>
      <w:pPr>
        <w:pStyle w:val="Heading2"/>
      </w:pPr>
      <w:r>
        <w:t xml:space="preserve">Meeting Records Export</w:t>
      </w:r>
    </w:p>
    <w:p>
      <w:pPr>
        <w:spacing w:after="200"/>
      </w:pPr>
      <w:r>
        <w:rPr>
          <w:color w:val="475569"/>
          <w:sz w:val="24"/>
          <w:szCs w:val="24"/>
        </w:rPr>
        <w:t xml:space="preserve">Export meeting records including: Prospect name, Company, Meeting date, Meeting status, Notes.</w:t>
      </w:r>
    </w:p>
    <w:p>
      <w:pPr>
        <w:pStyle w:val="Heading2"/>
      </w:pPr>
      <w:r>
        <w:t xml:space="preserve">Campaign Data Export</w:t>
      </w:r>
    </w:p>
    <w:p>
      <w:pPr>
        <w:spacing w:after="200"/>
      </w:pPr>
      <w:r>
        <w:rPr>
          <w:color w:val="475569"/>
          <w:sz w:val="24"/>
          <w:szCs w:val="24"/>
        </w:rPr>
        <w:t xml:space="preserve">Export all email sequences (copy), subject line variations, A/B test results, performance metrics by campaign, and winning elements documentation.</w:t>
      </w:r>
    </w:p>
    <w:p>
      <w:pPr>
        <w:pStyle w:val="Heading2"/>
      </w:pPr>
      <w:r>
        <w:t xml:space="preserve">Reports Export</w:t>
      </w:r>
    </w:p>
    <w:p>
      <w:pPr>
        <w:spacing w:after="200"/>
      </w:pPr>
      <w:r>
        <w:rPr>
          <w:color w:val="475569"/>
          <w:sz w:val="24"/>
          <w:szCs w:val="24"/>
        </w:rPr>
        <w:t xml:space="preserve">Export all weekly reports (PDF), final performance summary, key learnings document, and recommendations for future.</w:t>
      </w:r>
    </w:p>
    <w:p>
      <w:pPr>
        <w:pStyle w:val="Heading2"/>
      </w:pPr>
      <w:r>
        <w:t xml:space="preserve">Data Delivery</w:t>
      </w:r>
    </w:p>
    <w:p>
      <w:pPr>
        <w:spacing w:after="200"/>
      </w:pPr>
      <w:r>
        <w:rPr>
          <w:color w:val="475569"/>
          <w:sz w:val="24"/>
          <w:szCs w:val="24"/>
        </w:rPr>
        <w:t xml:space="preserve">Package all exports. Create secure file sharing link (Google Drive/Dropbox). Send to client with inventory. Confirm receipt.</w:t>
      </w:r>
    </w:p>
    <w:p>
      <w:pPr>
        <w:pStyle w:val="Heading1"/>
      </w:pPr>
      <w:r>
        <w:t xml:space="preserve">Phase 4: Technical Handoff (Days 22-28)</w:t>
      </w:r>
    </w:p>
    <w:p>
      <w:pPr>
        <w:pStyle w:val="Heading2"/>
      </w:pPr>
      <w:r>
        <w:t xml:space="preserve">If Client Keeping Domains</w:t>
      </w:r>
    </w:p>
    <w:p>
      <w:pPr>
        <w:spacing w:after="200"/>
      </w:pPr>
      <w:r>
        <w:rPr>
          <w:color w:val="475569"/>
          <w:sz w:val="24"/>
          <w:szCs w:val="24"/>
        </w:rPr>
        <w:t xml:space="preserve">Provide DNS record documentation. Transfer domain registrar access (if applicable). Document warmup status. Provide reputation score snapshot. Recommend maintaining warmup.</w:t>
      </w:r>
    </w:p>
    <w:p>
      <w:pPr>
        <w:pStyle w:val="Heading2"/>
      </w:pPr>
      <w:r>
        <w:t xml:space="preserve">If XGrowthOS Retaining Domains</w:t>
      </w:r>
    </w:p>
    <w:p>
      <w:pPr>
        <w:spacing w:after="200"/>
      </w:pPr>
      <w:r>
        <w:rPr>
          <w:color w:val="475569"/>
          <w:sz w:val="24"/>
          <w:szCs w:val="24"/>
        </w:rPr>
        <w:t xml:space="preserve">Notify client that domains will be retired. No DNS changes needed. Domains to be recycled after 90 days.</w:t>
      </w:r>
    </w:p>
    <w:p>
      <w:pPr>
        <w:pStyle w:val="Heading2"/>
      </w:pPr>
      <w:r>
        <w:t xml:space="preserve">CRM and Dashboard</w:t>
      </w:r>
    </w:p>
    <w:p>
      <w:pPr>
        <w:spacing w:after="200"/>
      </w:pPr>
      <w:r>
        <w:rPr>
          <w:color w:val="475569"/>
          <w:sz w:val="24"/>
          <w:szCs w:val="24"/>
        </w:rPr>
        <w:t xml:space="preserve">Disconnect CRM integration. Verify no sync errors. Document final sync status. Remove API credentials. Confirm client CRM access unchanged. Export any remaining dashboard data. Notify client of access termination date. Revoke dashboard credentials. Archive user account.</w:t>
      </w:r>
    </w:p>
    <w:p>
      <w:pPr>
        <w:pStyle w:val="Heading1"/>
      </w:pPr>
      <w:r>
        <w:t xml:space="preserve">Phase 5: Financial Close-Out (Days 22-30)</w:t>
      </w:r>
    </w:p>
    <w:p>
      <w:pPr>
        <w:spacing w:after="200"/>
      </w:pPr>
      <w:r>
        <w:rPr>
          <w:color w:val="475569"/>
          <w:sz w:val="24"/>
          <w:szCs w:val="24"/>
        </w:rPr>
        <w:t xml:space="preserve">Calculate final retainer (pro-rated if applicable). Calculate outstanding meeting bonuses. Identify any credits due. Calculate any refunds per agreement. Generate final invoice including final pro-rated retainer, outstanding meeting bonuses, credits applied, refunds if applicable, and net amount due.</w:t>
      </w:r>
    </w:p>
    <w:p>
      <w:pPr>
        <w:spacing w:after="200"/>
      </w:pPr>
      <w:r>
        <w:rPr>
          <w:color w:val="475569"/>
          <w:sz w:val="24"/>
          <w:szCs w:val="24"/>
        </w:rPr>
        <w:t xml:space="preserve">Send final invoice. Track payment receipt. Process any refunds within 15 days. Close billing account. Archive financial records.</w:t>
      </w:r>
    </w:p>
    <w:p>
      <w:pPr>
        <w:pStyle w:val="Heading1"/>
      </w:pPr>
      <w:r>
        <w:t xml:space="preserve">Phase 6: Post-Termination (Days 29-90)</w:t>
      </w:r>
    </w:p>
    <w:p>
      <w:pPr>
        <w:pStyle w:val="Heading2"/>
      </w:pPr>
      <w:r>
        <w:t xml:space="preserve">Data Retention</w:t>
      </w:r>
    </w:p>
    <w:p>
      <w:pPr>
        <w:spacing w:after="200"/>
      </w:pPr>
      <w:r>
        <w:rPr>
          <w:color w:val="475569"/>
          <w:sz w:val="24"/>
          <w:szCs w:val="24"/>
        </w:rPr>
        <w:t xml:space="preserve">Per DPA requirements: Lead data retained for 90 days, campaign data retained for 90 days, deletion scheduled for Day 90. On Day 90: Delete all client lead data, delete campaign content, delete account data, retain anonymized analytics only, document deletion completion, notify client of deletion if requested.</w:t>
      </w:r>
    </w:p>
    <w:p>
      <w:pPr>
        <w:pStyle w:val="Heading2"/>
      </w:pPr>
      <w:r>
        <w:t xml:space="preserve">Relationship Maintenance</w:t>
      </w:r>
    </w:p>
    <w:p>
      <w:pPr>
        <w:spacing w:after="200"/>
      </w:pPr>
      <w:r>
        <w:rPr>
          <w:color w:val="475569"/>
          <w:sz w:val="24"/>
          <w:szCs w:val="24"/>
        </w:rPr>
        <w:t xml:space="preserve">30 Days Post-Termination: Send feedback request survey, request testimonial if appropriate, offer to stay connected via LinkedIn. Ongoing: Add to former client newsletter with permission, note re-engagement opportunity, flag for future outreach at 6-12 months.</w:t>
      </w:r>
    </w:p>
    <w:p>
      <w:pPr>
        <w:pStyle w:val="Heading1"/>
      </w:pPr>
      <w:r>
        <w:t xml:space="preserve">Sign-Off</w:t>
      </w:r>
    </w:p>
    <w:p>
      <w:pPr>
        <w:spacing w:after="200"/>
      </w:pPr>
      <w:r>
        <w:rPr>
          <w:color w:val="475569"/>
          <w:sz w:val="24"/>
          <w:szCs w:val="24"/>
        </w:rPr>
        <w:t xml:space="preserve">Offboarding Completed By: _____________________________________________</w:t>
      </w:r>
    </w:p>
    <w:p>
      <w:pPr>
        <w:spacing w:after="200"/>
      </w:pPr>
      <w:r>
        <w:rPr>
          <w:color w:val="475569"/>
          <w:sz w:val="24"/>
          <w:szCs w:val="24"/>
        </w:rPr>
        <w:t xml:space="preserve">Date Completed: _____________________________________________</w:t>
      </w:r>
    </w:p>
    <w:p>
      <w:pPr>
        <w:spacing w:after="200"/>
      </w:pPr>
      <w:r>
        <w:rPr>
          <w:color w:val="475569"/>
          <w:sz w:val="24"/>
          <w:szCs w:val="24"/>
        </w:rPr>
        <w:t xml:space="preserve">All Checklist Items Verified: ☐ Yes  ☐ No</w:t>
      </w:r>
    </w:p>
    <w:p>
      <w:pPr>
        <w:spacing w:before="400" w:after="200"/>
        <w:jc w:val="center"/>
      </w:pPr>
      <w:r>
        <w:rPr>
          <w:color w:val="E2E8F0"/>
        </w:rPr>
        <w:t xml:space="preserve">────────────────────────────────────────────────────────────</w:t>
      </w:r>
    </w:p>
    <w:p>
      <w:pPr>
        <w:jc w:val="center"/>
      </w:pPr>
      <w:r>
        <w:rPr>
          <w:b/>
          <w:bCs/>
          <w:color w:val="059669"/>
          <w:sz w:val="22"/>
          <w:szCs w:val="22"/>
        </w:rPr>
        <w:t xml:space="preserve">XGrowthOS</w:t>
      </w:r>
      <w:r>
        <w:rPr>
          <w:color w:val="64748B"/>
          <w:sz w:val="20"/>
          <w:szCs w:val="20"/>
        </w:rPr>
        <w:t xml:space="preserve">  •  Autonomous B2B Lead Generation Platform</w:t>
      </w:r>
    </w:p>
    <w:p>
      <w:pPr>
        <w:jc w:val="center"/>
      </w:pPr>
      <w:r>
        <w:rPr>
          <w:color w:val="64748B"/>
          <w:sz w:val="20"/>
          <w:szCs w:val="20"/>
        </w:rPr>
        <w:t xml:space="preserve">support@xgrowthos.com  •  xgrowthos.com</w:t>
      </w:r>
    </w:p>
    <w:p>
      <w:pPr>
        <w:jc w:val="center"/>
      </w:pPr>
      <w:r>
        <w:rPr>
          <w:i/>
          <w:iCs/>
          <w:color w:val="64748B"/>
          <w:sz w:val="18"/>
          <w:szCs w:val="18"/>
        </w:rPr>
        <w:t xml:space="preserve">Document Version 2.0  •  January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Confidential  |  Page </w:t>
    </w:r>
    <w:r>
      <w:rPr>
        <w:color w:val="64748B"/>
        <w:sz w:val="18"/>
        <w:szCs w:val="18"/>
      </w:rPr>
      <w:fldChar w:fldCharType="begin"/>
      <w:instrText xml:space="preserve">PAGE</w:instrText>
      <w:fldChar w:fldCharType="separate"/>
      <w:fldChar w:fldCharType="end"/>
    </w:r>
    <w:r>
      <w:rPr>
        <w:color w:val="64748B"/>
        <w:sz w:val="18"/>
        <w:szCs w:val="18"/>
      </w:rPr>
      <w:t xml:space="preserve"> of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59669"/>
        <w:sz w:val="20"/>
        <w:szCs w:val="20"/>
      </w:rPr>
      <w:t xml:space="preserve">XGrowthOS</w:t>
    </w:r>
    <w:r>
      <w:rPr>
        <w:color w:val="64748B"/>
        <w:sz w:val="20"/>
        <w:szCs w:val="20"/>
      </w:rPr>
      <w:t xml:space="preserve">  |  Offboarding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b/>
      <w:bCs/>
      <w:color w:val="0F172A"/>
      <w:sz w:val="48"/>
      <w:szCs w:val="48"/>
    </w:rPr>
  </w:style>
  <w:style w:type="paragraph" w:styleId="Heading2">
    <w:name w:val="Heading 2"/>
    <w:basedOn w:val="Normal"/>
    <w:next w:val="Normal"/>
    <w:qFormat/>
    <w:pPr>
      <w:spacing w:before="300" w:after="150"/>
    </w:pPr>
    <w:rPr>
      <w:b/>
      <w:bCs/>
      <w:color w:val="0F172A"/>
      <w:sz w:val="32"/>
      <w:szCs w:val="32"/>
    </w:rPr>
  </w:style>
  <w:style w:type="paragraph" w:styleId="Heading3">
    <w:name w:val="Heading 3"/>
    <w:basedOn w:val="Normal"/>
    <w:next w:val="Normal"/>
    <w:qFormat/>
    <w:pPr>
      <w:spacing w:before="240" w:after="120"/>
    </w:pPr>
    <w:rPr>
      <w:b/>
      <w:bCs/>
      <w:color w:val="05966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2026-01-24T03:27:59.293Z</dcterms:created>
  <dcterms:modified xsi:type="dcterms:W3CDTF">2026-01-24T03:27:59.293Z</dcterms:modified>
</cp:coreProperties>
</file>

<file path=docProps/custom.xml><?xml version="1.0" encoding="utf-8"?>
<Properties xmlns="http://schemas.openxmlformats.org/officeDocument/2006/custom-properties" xmlns:vt="http://schemas.openxmlformats.org/officeDocument/2006/docPropsVTypes"/>
</file>