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right"/>
      </w:pPr>
      <w:r>
        <w:rPr>
          <w:color w:val="64748B"/>
          <w:sz w:val="20"/>
          <w:szCs w:val="20"/>
        </w:rPr>
        <w:t xml:space="preserve">XG-DOC-023</w:t>
      </w:r>
    </w:p>
    <w:p>
      <w:pPr>
        <w:spacing w:after="150"/>
        <w:jc w:val="center"/>
      </w:pPr>
      <w:r>
        <w:rPr>
          <w:b/>
          <w:bCs/>
          <w:color w:val="0F172A"/>
          <w:sz w:val="56"/>
          <w:szCs w:val="56"/>
        </w:rPr>
        <w:t xml:space="preserve">Brand Guidelines</w:t>
      </w:r>
    </w:p>
    <w:p>
      <w:pPr>
        <w:spacing w:after="400"/>
        <w:jc w:val="center"/>
      </w:pPr>
      <w:r>
        <w:rPr>
          <w:color w:val="059669"/>
          <w:sz w:val="26"/>
          <w:szCs w:val="26"/>
        </w:rPr>
        <w:t xml:space="preserve">XGrowthOS Visual Identity Standards</w:t>
      </w:r>
    </w:p>
    <w:p>
      <w:pPr>
        <w:pStyle w:val="Heading1"/>
      </w:pPr>
      <w:r>
        <w:t xml:space="preserve">1. Brand Overview</w:t>
      </w:r>
    </w:p>
    <w:p>
      <w:pPr>
        <w:pStyle w:val="Heading2"/>
      </w:pPr>
      <w:r>
        <w:t xml:space="preserve">Brand Essence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XGrowthOS represents autonomous intelligence in B2B lead generation. Our visual identity conveys Innovation (AI-powered, cutting-edge technology), Trust (professional, reliable, enterprise-ready), Growth (forward momentum, expansion, success), and Autonomy (self-operating, intelligent, efficient).</w:t>
      </w:r>
    </w:p>
    <w:p>
      <w:pPr>
        <w:pStyle w:val="Heading2"/>
      </w:pPr>
      <w:r>
        <w:t xml:space="preserve">Brand Voice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Confident: We know our platform works. Clear: No jargon, straightforward communication. Professional: Enterprise-appropriate tone. Approachable: Technical but accessible. Results-focused: Data-driven, metric-oriented.</w:t>
      </w:r>
    </w:p>
    <w:p>
      <w:pPr>
        <w:pStyle w:val="Heading2"/>
      </w:pPr>
      <w:r>
        <w:t xml:space="preserve">Brand Taglines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Primary: Autonomous B2B Lead Generation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Secondary Options: Book qualified meetings while you sleep. Five AI engines. Infinite pipeline. Your autonomous sales machine.</w:t>
      </w:r>
    </w:p>
    <w:p>
      <w:pPr>
        <w:pStyle w:val="Heading1"/>
      </w:pPr>
      <w:r>
        <w:t xml:space="preserve">2. Logo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The XGrowthOS logo consists of the Wordmark 'XGrowthOS' in Sora Bold and a stylized 'X' with growth arrow motif as the icon.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Logo Variations: Full Color for primary usage on white/light backgrounds, Reversed for dark backgrounds, Monochrome for single-color applications, and Icon Only for small applications, favicons, and social avatars.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Clear Space: Maintain clear space around the logo equal to the height of the 'X' in XGrowthOS.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Minimum Size: Digital 120px, Print 1 inch (25mm), Icon only 32px digital / 0.25 inch print.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Logo Don'ts: Don't stretch or distort, don't rotate, don't change colors arbitrarily, don't add effects (shadows, gradients), don't place on busy backgrounds, don't recreate in different fonts.</w:t>
      </w:r>
    </w:p>
    <w:p>
      <w:pPr>
        <w:pStyle w:val="Heading1"/>
      </w:pPr>
      <w:r>
        <w:t xml:space="preserve">3. Color Palette</w:t>
      </w:r>
    </w:p>
    <w:p>
      <w:pPr>
        <w:pStyle w:val="Heading2"/>
      </w:pPr>
      <w:r>
        <w:t xml:space="preserve">Primary Colors - Light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RGB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Emerald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#059669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5, 150, 105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Primary CTAs, links, accents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Emerald Dark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#047857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4, 120, 87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Hover states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Emerald Light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#10B981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16, 185, 129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Secondary accents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Primary Colors - Dark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RGB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Green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#22C55E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34, 197, 94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Primary CTAs, links, accents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Green Dark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#16A34A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22, 163, 74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Hover states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Green Light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#4ADE80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74, 222, 128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Secondary accents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Semantic Colors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Success: #059669 (Light) / #22C55E (Dark). Warning: #D97706 (Light) / #F59E0B (Dark). Error: #DC2626 (Light) / #EF4444 (Dark). Info: #2563EB (Light) / #3B82F6 (Dark).</w:t>
      </w:r>
    </w:p>
    <w:p>
      <w:r>
        <w:br w:type="page"/>
      </w:r>
    </w:p>
    <w:p>
      <w:pPr>
        <w:pStyle w:val="Heading1"/>
      </w:pPr>
      <w:r>
        <w:t xml:space="preserve">4. Typography</w:t>
      </w:r>
    </w:p>
    <w:p>
      <w:pPr>
        <w:pStyle w:val="Heading2"/>
      </w:pPr>
      <w:r>
        <w:t xml:space="preserve">Font Families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Sora: Headlines, titles, dark mode body (Google Fonts). Figtree: Body text (light mode), UI elements (Google Fonts). Inter: Data, tables, code (Google Fonts).</w:t>
      </w:r>
    </w:p>
    <w:p>
      <w:pPr>
        <w:pStyle w:val="Heading2"/>
      </w:pPr>
      <w:r>
        <w:t xml:space="preserve">Type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Line Height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H1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Sora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Bold (700)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48-64px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H2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Sora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SemiBold (600)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36-48px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1.2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H3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Sora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SemiBold (600)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24-30px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1.3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Body Large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Figtree/Sora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Regular (400)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18px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1.6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Figtree/Sora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Regular (400)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16px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Button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Figtree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SemiBold (600)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14-16px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AI Engine Icons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The Guardian: Shield icon representing compliance and protection. The Architect: Blueprint/Compass icon representing design and structure. The Scientist: Flask/Microscope icon representing testing and optimization. The Hunter: Target/Crosshair icon representing precision and expansion. The Sentinel: Eye/Radar icon representing monitoring and intelligence.</w:t>
      </w:r>
    </w:p>
    <w:p>
      <w:pPr>
        <w:pStyle w:val="Heading1"/>
      </w:pPr>
      <w:r>
        <w:t xml:space="preserve">6. UI Components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Primary Button: Background Emerald (#059669) / Green (#22C55E), text white, border radius 6px, padding 12px 24px, hover uses darker shade.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Secondary Button: Background transparent, border 1px solid primary, text primary color, hover shows light primary background.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Cards: Background surface color, border 1px solid border color (optional), border radius 8-12px, subtle shadow in light mode, padding 16-24px.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Forms: Input height 40-44px, border radius 6px, border 1px solid border color, focus shows primary color border with glow, error shows error color border.</w:t>
      </w:r>
    </w:p>
    <w:p>
      <w:pPr>
        <w:pStyle w:val="Heading1"/>
      </w:pPr>
      <w:r>
        <w:t xml:space="preserve">7. Application Examples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Website: Dark mode as primary option, light mode supported. Hero sections use bold typography and gradient backgrounds. CTAs use high contrast buttons.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Dashboard: Dark mode default. Data-dense layouts with clear information hierarchy and consistent component usage.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Documents: Light backgrounds preferred. Clear heading hierarchy. Tables with subtle borders. Branded header/footer.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Social Media: Square format 1080x1080px, Story format 1080x1920px, LinkedIn cover 1584x396px, Profile icon circular with icon-only logo.</w:t>
      </w:r>
    </w:p>
    <w:p>
      <w:pPr>
        <w:spacing w:before="400" w:after="200"/>
        <w:jc w:val="center"/>
      </w:pPr>
      <w:r>
        <w:rPr>
          <w:color w:val="E2E8F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bCs/>
          <w:color w:val="059669"/>
          <w:sz w:val="22"/>
          <w:szCs w:val="22"/>
        </w:rPr>
        <w:t xml:space="preserve">XGrowthOS</w:t>
      </w:r>
      <w:r>
        <w:rPr>
          <w:color w:val="64748B"/>
          <w:sz w:val="20"/>
          <w:szCs w:val="20"/>
        </w:rPr>
        <w:t xml:space="preserve">  •  Autonomous B2B Lead Generation Platform</w:t>
      </w:r>
    </w:p>
    <w:p>
      <w:pPr>
        <w:jc w:val="center"/>
      </w:pPr>
      <w:r>
        <w:rPr>
          <w:color w:val="64748B"/>
          <w:sz w:val="20"/>
          <w:szCs w:val="20"/>
        </w:rPr>
        <w:t xml:space="preserve">support@xgrowthos.com  •  xgrowthos.com</w:t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Document Version 2.0  • 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20"/>
        <w:szCs w:val="20"/>
      </w:rPr>
      <w:t xml:space="preserve">XGrowthOS</w:t>
    </w:r>
    <w:r>
      <w:rPr>
        <w:color w:val="64748B"/>
        <w:sz w:val="20"/>
        <w:szCs w:val="20"/>
      </w:rPr>
      <w:t xml:space="preserve">  | 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0F172A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0596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2026-01-24T03:31:48.287Z</dcterms:created>
  <dcterms:modified xsi:type="dcterms:W3CDTF">2026-01-24T03:31:48.287Z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