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24F7" w14:textId="51102628" w:rsidR="00BE6993" w:rsidRDefault="00BE6993">
      <w:r>
        <w:t>Student Name</w:t>
      </w:r>
      <w:r>
        <w:tab/>
      </w:r>
      <w:r>
        <w:tab/>
        <w:t xml:space="preserve">: </w:t>
      </w:r>
      <w:r w:rsidR="00A0189A">
        <w:t xml:space="preserve">Marcos Gomes </w:t>
      </w:r>
      <w:r w:rsidR="002F32D6">
        <w:t xml:space="preserve">(ID: </w:t>
      </w:r>
      <w:r w:rsidR="002F32D6" w:rsidRPr="002F32D6">
        <w:t>20104106</w:t>
      </w:r>
      <w:r w:rsidR="002F32D6">
        <w:t>)</w:t>
      </w:r>
      <w:r w:rsidR="008708EB">
        <w:br/>
        <w:t>Demo Video URL</w:t>
      </w:r>
      <w:r w:rsidR="008708EB">
        <w:tab/>
        <w:t>:</w:t>
      </w:r>
      <w:r w:rsidR="002F32D6">
        <w:t xml:space="preserve"> </w:t>
      </w:r>
    </w:p>
    <w:p w14:paraId="4905810F" w14:textId="08713078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A0189A">
        <w:t xml:space="preserve"> </w:t>
      </w:r>
      <w:r w:rsidR="00A0189A" w:rsidRPr="00A0189A">
        <w:t>https://github.com/marcosogg/tazq_assignmnet2</w:t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6"/>
        <w:gridCol w:w="2577"/>
        <w:gridCol w:w="1738"/>
        <w:gridCol w:w="2636"/>
        <w:gridCol w:w="2476"/>
        <w:gridCol w:w="1697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4D3EDA86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>
              <w:rPr>
                <w:lang w:val="en-IE"/>
              </w:rPr>
              <w:t>CRUD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4CF5F17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>
              <w:rPr>
                <w:lang w:val="en-IE"/>
              </w:rPr>
              <w:t>Temporary Storage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17E2844A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B7307" w:rsidRPr="00CB7307">
              <w:rPr>
                <w:lang w:val="en-IE"/>
              </w:rPr>
              <w:t>App Navigation (via Bottom Nav Bar)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41C98B53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B7307" w:rsidRPr="00CB7307">
              <w:rPr>
                <w:lang w:val="en-IE"/>
              </w:rPr>
              <w:t>UI &amp; Material Design Guidelines adhered to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3D25E06F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Pr="00CE66AF">
              <w:rPr>
                <w:lang w:val="en-IE"/>
              </w:rPr>
              <w:t>Commit History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56CFE395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Firebase Auth (Basic Email/Password + Google Auth)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22C20070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JSON/ROOM Database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4D4BAA61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Custom UI Elements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55DA635E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Material 3 Components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5EB01451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❌</w:t>
            </w:r>
            <w:r>
              <w:rPr>
                <w:rFonts w:ascii="Segoe UI Emoji" w:hAnsi="Segoe UI Emoji" w:cs="Segoe UI Emoji"/>
                <w:lang w:val="en-IE"/>
              </w:rPr>
              <w:br/>
              <w:t>Tagged Releases</w:t>
            </w: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2535867E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 xml:space="preserve">Additional Features (e.g., sorting, searching) 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CB41ECC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Firebase DB (Custom Schema)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2DA64077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IE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lang w:val="en-IE"/>
              </w:rPr>
              <w:t>️</w:t>
            </w:r>
            <w:r>
              <w:rPr>
                <w:lang w:val="en-IE"/>
              </w:rPr>
              <w:br/>
            </w:r>
            <w:r w:rsidRPr="00CB7307">
              <w:rPr>
                <w:lang w:val="en-IE"/>
              </w:rPr>
              <w:t xml:space="preserve">Partially </w:t>
            </w:r>
            <w:r>
              <w:rPr>
                <w:lang w:val="en-IE"/>
              </w:rPr>
              <w:t>(</w:t>
            </w:r>
            <w:r w:rsidRPr="00CB7307">
              <w:rPr>
                <w:lang w:val="en-IE"/>
              </w:rPr>
              <w:t>Coil implemented, used for profile</w:t>
            </w:r>
            <w:r>
              <w:rPr>
                <w:lang w:val="en-IE"/>
              </w:rPr>
              <w:t>)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7083D01A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="00CE66AF" w:rsidRPr="00CE66AF">
              <w:rPr>
                <w:lang w:val="en-IE"/>
              </w:rPr>
              <w:t>MVVM Design Pattern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107BB5C4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✅</w:t>
            </w:r>
            <w:r>
              <w:rPr>
                <w:lang w:val="en-IE"/>
              </w:rPr>
              <w:br/>
            </w:r>
            <w:r w:rsidRPr="00CE66AF">
              <w:rPr>
                <w:lang w:val="en-IE"/>
              </w:rPr>
              <w:t>Commit History</w:t>
            </w: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711FC695" w:rsidR="004936CB" w:rsidRPr="004936CB" w:rsidRDefault="00CE66AF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❌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671FFCE3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IE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lang w:val="en-IE"/>
              </w:rPr>
              <w:t>️</w:t>
            </w:r>
            <w:r>
              <w:rPr>
                <w:lang w:val="en-IE"/>
              </w:rPr>
              <w:br/>
            </w:r>
            <w:r w:rsidRPr="00CB7307">
              <w:rPr>
                <w:lang w:val="en-IE"/>
              </w:rPr>
              <w:t>Partially (Firebase DB</w:t>
            </w:r>
            <w:r>
              <w:rPr>
                <w:lang w:val="en-IE"/>
              </w:rPr>
              <w:t>)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0B0AE356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❌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3BC01AC2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❌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53CF4703" w:rsidR="004936CB" w:rsidRPr="004936CB" w:rsidRDefault="00CB7307" w:rsidP="00CB7307">
            <w:pPr>
              <w:jc w:val="center"/>
              <w:rPr>
                <w:lang w:val="en-IE"/>
              </w:rPr>
            </w:pPr>
            <w:r>
              <w:rPr>
                <w:rFonts w:ascii="Segoe UI Emoji" w:hAnsi="Segoe UI Emoji" w:cs="Segoe UI Emoji"/>
                <w:lang w:val="en-IE"/>
              </w:rPr>
              <w:t>❌</w:t>
            </w:r>
          </w:p>
        </w:tc>
      </w:tr>
    </w:tbl>
    <w:p w14:paraId="03058900" w14:textId="77777777" w:rsidR="008708EB" w:rsidRPr="00990775" w:rsidRDefault="008708EB" w:rsidP="00990775"/>
    <w:p w14:paraId="07ED5BBE" w14:textId="77777777" w:rsidR="00990775" w:rsidRPr="00CB7307" w:rsidRDefault="00990775" w:rsidP="00990775">
      <w:pPr>
        <w:rPr>
          <w:b/>
          <w:bCs/>
        </w:rPr>
      </w:pPr>
      <w:r w:rsidRPr="00CB7307">
        <w:rPr>
          <w:b/>
          <w:bCs/>
        </w:rPr>
        <w:t>Additional Comments:</w:t>
      </w:r>
    </w:p>
    <w:p w14:paraId="37E52DCA" w14:textId="1A0016AC" w:rsidR="00990775" w:rsidRPr="00990775" w:rsidRDefault="00CB7307" w:rsidP="00990775">
      <w:r w:rsidRPr="00CB7307">
        <w:t>The Tazq app demonstrates a good understanding of Android development fundamentals, Firebase integration, and the MVVM architectural pattern. The codebase is well-structured, and the UI is generally well-designed. However, there are areas for improvement, particularly in implementing more advanced features, enhancing the user experience</w:t>
      </w:r>
      <w:r w:rsidR="00DF2F15">
        <w:t xml:space="preserve"> and</w:t>
      </w:r>
      <w:r w:rsidRPr="00CB7307">
        <w:t xml:space="preserve"> fully utilizing Firebase services. By addressing these areas, the project could reach the "Excellent" level in the grading rubric and become an even more polished and feature-rich task management application.</w:t>
      </w:r>
    </w:p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C8D77" w14:textId="77777777" w:rsidR="00C13E8D" w:rsidRDefault="00C13E8D" w:rsidP="007336B7">
      <w:r>
        <w:separator/>
      </w:r>
    </w:p>
  </w:endnote>
  <w:endnote w:type="continuationSeparator" w:id="0">
    <w:p w14:paraId="051E819C" w14:textId="77777777" w:rsidR="00C13E8D" w:rsidRDefault="00C13E8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FB4E4" w14:textId="77777777" w:rsidR="00C13E8D" w:rsidRDefault="00C13E8D" w:rsidP="007336B7">
      <w:r>
        <w:separator/>
      </w:r>
    </w:p>
  </w:footnote>
  <w:footnote w:type="continuationSeparator" w:id="0">
    <w:p w14:paraId="2C9371D5" w14:textId="77777777" w:rsidR="00C13E8D" w:rsidRDefault="00C13E8D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2F32D6"/>
    <w:rsid w:val="0031587C"/>
    <w:rsid w:val="0039772B"/>
    <w:rsid w:val="003A19DB"/>
    <w:rsid w:val="003B5DCB"/>
    <w:rsid w:val="004936CB"/>
    <w:rsid w:val="00695A59"/>
    <w:rsid w:val="007336B7"/>
    <w:rsid w:val="008111C3"/>
    <w:rsid w:val="008708EB"/>
    <w:rsid w:val="009256FA"/>
    <w:rsid w:val="0094474C"/>
    <w:rsid w:val="00990775"/>
    <w:rsid w:val="00A0189A"/>
    <w:rsid w:val="00A30AEB"/>
    <w:rsid w:val="00A90507"/>
    <w:rsid w:val="00A960B8"/>
    <w:rsid w:val="00BD67D8"/>
    <w:rsid w:val="00BE6993"/>
    <w:rsid w:val="00C13E8D"/>
    <w:rsid w:val="00C421B2"/>
    <w:rsid w:val="00C97648"/>
    <w:rsid w:val="00CB7307"/>
    <w:rsid w:val="00CE66AF"/>
    <w:rsid w:val="00DF2F15"/>
    <w:rsid w:val="00E873D2"/>
    <w:rsid w:val="00E91BDD"/>
    <w:rsid w:val="00F8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Marcos Oliveira Gomes</cp:lastModifiedBy>
  <cp:revision>3</cp:revision>
  <dcterms:created xsi:type="dcterms:W3CDTF">2024-12-27T19:37:00Z</dcterms:created>
  <dcterms:modified xsi:type="dcterms:W3CDTF">2024-12-27T19:38:00Z</dcterms:modified>
</cp:coreProperties>
</file>