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C5C" w:rsidRDefault="00F47D43">
      <w:pPr>
        <w:spacing w:after="80"/>
      </w:pPr>
      <w:r>
        <w:rPr>
          <w:rFonts w:ascii="Calibri" w:hAnsi="Calibri"/>
          <w:b/>
          <w:color w:val="1B365D"/>
          <w:sz w:val="40"/>
        </w:rPr>
        <w:t>FORMULARIO TÉCNICO: MÉTRICAS DE RENDIMIENTO, RIESGO Y EFICIENCIA</w:t>
      </w:r>
    </w:p>
    <w:p w:rsidR="00BE4C5C" w:rsidRDefault="00F47D43">
      <w:pPr>
        <w:spacing w:after="360"/>
      </w:pPr>
      <w:r>
        <w:rPr>
          <w:rFonts w:ascii="Calibri" w:hAnsi="Calibri"/>
          <w:i/>
          <w:color w:val="4A777A"/>
          <w:sz w:val="24"/>
        </w:rPr>
        <w:t>Compendio Definitorio y Formulaciones Matemáticas para el Filtro de Atletas (Sistema Maestro 8.4)</w:t>
      </w:r>
    </w:p>
    <w:p w:rsidR="00BE4C5C" w:rsidRDefault="00F47D43">
      <w:pPr>
        <w:pStyle w:val="Ttulo1"/>
        <w:spacing w:before="280" w:after="120"/>
      </w:pPr>
      <w:r>
        <w:rPr>
          <w:rFonts w:ascii="Calibri" w:hAnsi="Calibri"/>
          <w:color w:val="1B365D"/>
          <w:sz w:val="30"/>
        </w:rPr>
        <w:t>1. MÉTRICAS DE RETORNO Y RENTABILIDAD</w:t>
      </w:r>
    </w:p>
    <w:p w:rsidR="00BE4C5C" w:rsidRDefault="00F47D43">
      <w:pPr>
        <w:spacing w:after="160"/>
      </w:pPr>
      <w:r>
        <w:rPr>
          <w:rFonts w:ascii="Calibri" w:hAnsi="Calibri"/>
          <w:color w:val="222222"/>
        </w:rPr>
        <w:t xml:space="preserve">Las métricas de retorno cuantifican el flujo de </w:t>
      </w:r>
      <w:r>
        <w:rPr>
          <w:rFonts w:ascii="Calibri" w:hAnsi="Calibri"/>
          <w:color w:val="222222"/>
        </w:rPr>
        <w:t>ganancias o pérdidas generado por un activo financiero en distintos horizontes temporales. Constituyen el pilar primario para medir el crecimiento del capital e identificar la capacidad de generación de valor nominal y real.</w:t>
      </w:r>
    </w:p>
    <w:p w:rsidR="00BE4C5C" w:rsidRDefault="00F47D43">
      <w:pPr>
        <w:pStyle w:val="Ttulo2"/>
        <w:spacing w:after="80"/>
      </w:pPr>
      <w:r>
        <w:rPr>
          <w:rFonts w:ascii="Calibri" w:hAnsi="Calibri"/>
          <w:color w:val="4A777A"/>
          <w:sz w:val="25"/>
        </w:rPr>
        <w:t>1.1. Rendimiento Periódico o Si</w:t>
      </w:r>
      <w:r>
        <w:rPr>
          <w:rFonts w:ascii="Calibri" w:hAnsi="Calibri"/>
          <w:color w:val="4A777A"/>
          <w:sz w:val="25"/>
        </w:rPr>
        <w:t>mple (R_i)</w:t>
      </w:r>
    </w:p>
    <w:p w:rsidR="00BE4C5C" w:rsidRDefault="00F47D43">
      <w:pPr>
        <w:spacing w:after="80"/>
      </w:pPr>
      <w:r>
        <w:rPr>
          <w:rFonts w:ascii="Calibri" w:hAnsi="Calibri"/>
          <w:b/>
          <w:color w:val="222222"/>
        </w:rPr>
        <w:t xml:space="preserve">Definición: </w:t>
      </w:r>
      <w:r>
        <w:rPr>
          <w:rFonts w:ascii="Calibri" w:hAnsi="Calibri"/>
          <w:color w:val="222222"/>
        </w:rPr>
        <w:t>Mide la variación porcentual del precio de un activo entre dos momentos del tiempo (por ejemplo, intra-día o entre sesiones de cierre), incluyendo los ingresos corrientes o dividendos percibidos durante el periodo.</w:t>
      </w:r>
    </w:p>
    <w:p w:rsidR="00BE4C5C" w:rsidRDefault="00F47D43">
      <w:pPr>
        <w:spacing w:before="80" w:after="160"/>
        <w:ind w:left="360"/>
      </w:pPr>
      <w:proofErr w:type="spellStart"/>
      <w:r>
        <w:rPr>
          <w:rFonts w:ascii="Consolas" w:hAnsi="Consolas"/>
          <w:b/>
          <w:color w:val="1B365D"/>
          <w:sz w:val="20"/>
        </w:rPr>
        <w:t>Fórmula</w:t>
      </w:r>
      <w:proofErr w:type="spellEnd"/>
      <w:r>
        <w:rPr>
          <w:rFonts w:ascii="Consolas" w:hAnsi="Consolas"/>
          <w:b/>
          <w:color w:val="1B365D"/>
          <w:sz w:val="20"/>
        </w:rPr>
        <w:t xml:space="preserve"> General con Dividendos:   R_t = (P_t - P_{t-1} + C) / P_{t-1}</w:t>
      </w:r>
    </w:p>
    <w:p w:rsidR="00BE4C5C" w:rsidRDefault="00F47D43">
      <w:pPr>
        <w:pStyle w:val="Ttulo2"/>
        <w:spacing w:after="80"/>
      </w:pPr>
      <w:r>
        <w:rPr>
          <w:rFonts w:ascii="Calibri" w:hAnsi="Calibri"/>
          <w:color w:val="4A777A"/>
          <w:sz w:val="25"/>
        </w:rPr>
        <w:t>1.2. Retorno Esperado o Rendimiento Promedio (E[R_i] o R̄)</w:t>
      </w:r>
    </w:p>
    <w:p w:rsidR="00BE4C5C" w:rsidRDefault="00F47D43">
      <w:pPr>
        <w:spacing w:after="80"/>
      </w:pPr>
      <w:r>
        <w:rPr>
          <w:rFonts w:ascii="Calibri" w:hAnsi="Calibri"/>
          <w:b/>
          <w:color w:val="222222"/>
        </w:rPr>
        <w:t xml:space="preserve">Definición: </w:t>
      </w:r>
      <w:r>
        <w:rPr>
          <w:rFonts w:ascii="Calibri" w:hAnsi="Calibri"/>
          <w:color w:val="222222"/>
        </w:rPr>
        <w:t>Representa el primer momento de la distribución</w:t>
      </w:r>
      <w:r>
        <w:rPr>
          <w:rFonts w:ascii="Calibri" w:hAnsi="Calibri"/>
          <w:color w:val="222222"/>
        </w:rPr>
        <w:t xml:space="preserve"> de probabilidad de los rendimientos. Corresponde a la media aritmética de la serie de retornos históricos observados en n observaciones.</w:t>
      </w:r>
    </w:p>
    <w:p w:rsidR="00BE4C5C" w:rsidRDefault="00F47D43">
      <w:pPr>
        <w:spacing w:before="80" w:after="160"/>
        <w:ind w:left="360"/>
      </w:pPr>
      <w:r>
        <w:rPr>
          <w:rFonts w:ascii="Consolas" w:hAnsi="Consolas"/>
          <w:b/>
          <w:color w:val="1B365D"/>
          <w:sz w:val="20"/>
        </w:rPr>
        <w:t>Fórmula:   E[R_i] = R̄ = (1 / n) × Σ_{t=1}^{n} R_{i,t}</w:t>
      </w:r>
    </w:p>
    <w:p w:rsidR="00BE4C5C" w:rsidRDefault="00F47D43">
      <w:pPr>
        <w:pStyle w:val="Ttulo2"/>
        <w:spacing w:after="80"/>
      </w:pPr>
      <w:r>
        <w:rPr>
          <w:rFonts w:ascii="Calibri" w:hAnsi="Calibri"/>
          <w:color w:val="4A777A"/>
          <w:sz w:val="25"/>
        </w:rPr>
        <w:t>1.3. Rentabilidad Real (I_r)</w:t>
      </w:r>
    </w:p>
    <w:p w:rsidR="00BE4C5C" w:rsidRDefault="00F47D43">
      <w:pPr>
        <w:spacing w:after="80"/>
      </w:pPr>
      <w:r>
        <w:rPr>
          <w:rFonts w:ascii="Calibri" w:hAnsi="Calibri"/>
          <w:b/>
          <w:color w:val="222222"/>
        </w:rPr>
        <w:t xml:space="preserve">Definición: </w:t>
      </w:r>
      <w:r>
        <w:rPr>
          <w:rFonts w:ascii="Calibri" w:hAnsi="Calibri"/>
          <w:color w:val="222222"/>
        </w:rPr>
        <w:t>Ajusta la rentabilidad</w:t>
      </w:r>
      <w:r>
        <w:rPr>
          <w:rFonts w:ascii="Calibri" w:hAnsi="Calibri"/>
          <w:color w:val="222222"/>
        </w:rPr>
        <w:t xml:space="preserve"> nominal (I_n) descontando la tasa de inflación acumulada (g) durante el periodo de tenencia, reflejando </w:t>
      </w:r>
      <w:bookmarkStart w:id="0" w:name="_GoBack"/>
      <w:bookmarkEnd w:id="0"/>
      <w:r>
        <w:rPr>
          <w:rFonts w:ascii="Calibri" w:hAnsi="Calibri"/>
          <w:color w:val="222222"/>
        </w:rPr>
        <w:t>el verdadero incremento en poder adquisitivo del capital.</w:t>
      </w:r>
    </w:p>
    <w:p w:rsidR="00BE4C5C" w:rsidRDefault="00F47D43">
      <w:pPr>
        <w:spacing w:before="80" w:after="240"/>
        <w:ind w:left="360"/>
      </w:pPr>
      <w:r>
        <w:rPr>
          <w:rFonts w:ascii="Consolas" w:hAnsi="Consolas"/>
          <w:b/>
          <w:color w:val="1B365D"/>
          <w:sz w:val="20"/>
        </w:rPr>
        <w:t>Fórmula Exacta:   I_r = [(1 + I_n) / (1 + g)] - 1</w:t>
      </w:r>
      <w:r>
        <w:rPr>
          <w:rFonts w:ascii="Consolas" w:hAnsi="Consolas"/>
          <w:b/>
          <w:color w:val="1B365D"/>
          <w:sz w:val="20"/>
        </w:rPr>
        <w:br/>
        <w:t>Aproximación Lineal Práctica:   I_r ≈ I_n -</w:t>
      </w:r>
      <w:r>
        <w:rPr>
          <w:rFonts w:ascii="Consolas" w:hAnsi="Consolas"/>
          <w:b/>
          <w:color w:val="1B365D"/>
          <w:sz w:val="20"/>
        </w:rPr>
        <w:t xml:space="preserve"> g</w:t>
      </w:r>
    </w:p>
    <w:p w:rsidR="00BE4C5C" w:rsidRDefault="00F47D43">
      <w:pPr>
        <w:pStyle w:val="Ttulo1"/>
        <w:spacing w:before="320" w:after="120"/>
      </w:pPr>
      <w:r>
        <w:rPr>
          <w:rFonts w:ascii="Calibri" w:hAnsi="Calibri"/>
          <w:color w:val="1B365D"/>
          <w:sz w:val="30"/>
        </w:rPr>
        <w:t>2. MÉTRICAS DE RIESGO Y CONTROL DE CAÍDAS</w:t>
      </w:r>
    </w:p>
    <w:p w:rsidR="00BE4C5C" w:rsidRDefault="00F47D43">
      <w:pPr>
        <w:spacing w:after="160"/>
      </w:pPr>
      <w:r>
        <w:rPr>
          <w:rFonts w:ascii="Calibri" w:hAnsi="Calibri"/>
          <w:color w:val="222222"/>
        </w:rPr>
        <w:t>El riesgo en finanzas representa la dispersión o incertidumbre de los retornos futuros respecto a lo esperado. En el Sistema Maestro 8.4, el riesgo no solo se evalúa como la variabilidad simétrica de los retorno</w:t>
      </w:r>
      <w:r>
        <w:rPr>
          <w:rFonts w:ascii="Calibri" w:hAnsi="Calibri"/>
          <w:color w:val="222222"/>
        </w:rPr>
        <w:t>s, sino con especial énfasis en las caídas acumuladas profundas y la asimetría de pérdidas.</w:t>
      </w:r>
    </w:p>
    <w:p w:rsidR="00BE4C5C" w:rsidRDefault="00F47D43">
      <w:pPr>
        <w:pStyle w:val="Ttulo2"/>
        <w:spacing w:after="80"/>
      </w:pPr>
      <w:r>
        <w:rPr>
          <w:rFonts w:ascii="Calibri" w:hAnsi="Calibri"/>
          <w:color w:val="4A777A"/>
          <w:sz w:val="25"/>
        </w:rPr>
        <w:t>2.1. Varianza (σ²) y Desviación Estándar / Volatilidad (σ)</w:t>
      </w:r>
    </w:p>
    <w:p w:rsidR="00BE4C5C" w:rsidRDefault="00F47D43">
      <w:pPr>
        <w:spacing w:after="80"/>
      </w:pPr>
      <w:r>
        <w:rPr>
          <w:rFonts w:ascii="Calibri" w:hAnsi="Calibri"/>
          <w:b/>
          <w:color w:val="222222"/>
        </w:rPr>
        <w:t xml:space="preserve">Definición: </w:t>
      </w:r>
      <w:r>
        <w:rPr>
          <w:rFonts w:ascii="Calibri" w:hAnsi="Calibri"/>
          <w:color w:val="222222"/>
        </w:rPr>
        <w:t xml:space="preserve">Mide el segundo momento de la distribución de probabilidad, es decir, la dispersión absoluta </w:t>
      </w:r>
      <w:r>
        <w:rPr>
          <w:rFonts w:ascii="Calibri" w:hAnsi="Calibri"/>
          <w:color w:val="222222"/>
        </w:rPr>
        <w:t>de los retornos observados en torno a su retorno promedio. La desviación estándar es la raíz cuadrada de la varianza.</w:t>
      </w:r>
    </w:p>
    <w:p w:rsidR="00BE4C5C" w:rsidRDefault="00F47D43">
      <w:pPr>
        <w:spacing w:before="80" w:after="160"/>
        <w:ind w:left="360"/>
      </w:pPr>
      <w:r>
        <w:rPr>
          <w:rFonts w:ascii="Consolas" w:hAnsi="Consolas"/>
          <w:b/>
          <w:color w:val="1B365D"/>
          <w:sz w:val="20"/>
        </w:rPr>
        <w:lastRenderedPageBreak/>
        <w:t>Varianza Muestral:   σ² = [1 / (n - 1)] × Σ_{i=1}^{n} (R_i - R̄)²</w:t>
      </w:r>
      <w:r>
        <w:rPr>
          <w:rFonts w:ascii="Consolas" w:hAnsi="Consolas"/>
          <w:b/>
          <w:color w:val="1B365D"/>
          <w:sz w:val="20"/>
        </w:rPr>
        <w:br/>
        <w:t>Desviación Estándar:  σ = √σ²</w:t>
      </w:r>
    </w:p>
    <w:p w:rsidR="00BE4C5C" w:rsidRDefault="00F47D43">
      <w:pPr>
        <w:pStyle w:val="Ttulo2"/>
        <w:spacing w:after="80"/>
      </w:pPr>
      <w:r>
        <w:rPr>
          <w:rFonts w:ascii="Calibri" w:hAnsi="Calibri"/>
          <w:color w:val="4A777A"/>
          <w:sz w:val="25"/>
        </w:rPr>
        <w:t>2.2. Máximo Drawdown (MDD / Caída Máxima A</w:t>
      </w:r>
      <w:r>
        <w:rPr>
          <w:rFonts w:ascii="Calibri" w:hAnsi="Calibri"/>
          <w:color w:val="4A777A"/>
          <w:sz w:val="25"/>
        </w:rPr>
        <w:t>cumulada)</w:t>
      </w:r>
    </w:p>
    <w:p w:rsidR="00BE4C5C" w:rsidRDefault="00F47D43">
      <w:pPr>
        <w:spacing w:after="80"/>
      </w:pPr>
      <w:r>
        <w:rPr>
          <w:rFonts w:ascii="Calibri" w:hAnsi="Calibri"/>
          <w:b/>
          <w:color w:val="222222"/>
        </w:rPr>
        <w:t xml:space="preserve">Definición: </w:t>
      </w:r>
      <w:r>
        <w:rPr>
          <w:rFonts w:ascii="Calibri" w:hAnsi="Calibri"/>
          <w:color w:val="222222"/>
        </w:rPr>
        <w:t>Mide la mayor pérdida porcentual acumulada desde un pico máximo histórico hasta su punto más bajo (valle) en la trayectoria temporal del precio del activo antes de alcanzar un nuevo máximo.</w:t>
      </w:r>
    </w:p>
    <w:p w:rsidR="00BE4C5C" w:rsidRDefault="00F47D43">
      <w:pPr>
        <w:spacing w:before="80" w:after="240"/>
        <w:ind w:left="360"/>
      </w:pPr>
      <w:r>
        <w:rPr>
          <w:rFonts w:ascii="Consolas" w:hAnsi="Consolas"/>
          <w:b/>
          <w:color w:val="1B365D"/>
          <w:sz w:val="20"/>
        </w:rPr>
        <w:t>Fórmula:   MDD = [(Precio_pico - Precio_vall</w:t>
      </w:r>
      <w:r>
        <w:rPr>
          <w:rFonts w:ascii="Consolas" w:hAnsi="Consolas"/>
          <w:b/>
          <w:color w:val="1B365D"/>
          <w:sz w:val="20"/>
        </w:rPr>
        <w:t>e) / Precio_pico] × 100%</w:t>
      </w:r>
      <w:r>
        <w:rPr>
          <w:rFonts w:ascii="Consolas" w:hAnsi="Consolas"/>
          <w:b/>
          <w:color w:val="1B365D"/>
          <w:sz w:val="20"/>
        </w:rPr>
        <w:br/>
        <w:t>Aplicación: Escudo contra el riesgo de cola. Previene que el activo active prematuramente el Stop Loss dinámico del 7%.</w:t>
      </w:r>
    </w:p>
    <w:p w:rsidR="00BE4C5C" w:rsidRDefault="00F47D43">
      <w:pPr>
        <w:pStyle w:val="Ttulo1"/>
        <w:spacing w:before="320" w:after="120"/>
      </w:pPr>
      <w:r>
        <w:rPr>
          <w:rFonts w:ascii="Calibri" w:hAnsi="Calibri"/>
          <w:color w:val="1B365D"/>
          <w:sz w:val="30"/>
        </w:rPr>
        <w:t>3. RATIOS DE EFICIENCIA Y RENDIMIENTO AJUSTADO POR RIESGO</w:t>
      </w:r>
    </w:p>
    <w:p w:rsidR="00BE4C5C" w:rsidRDefault="00F47D43">
      <w:pPr>
        <w:spacing w:after="160"/>
      </w:pPr>
      <w:r>
        <w:rPr>
          <w:rFonts w:ascii="Calibri" w:hAnsi="Calibri"/>
          <w:color w:val="222222"/>
        </w:rPr>
        <w:t>Los ratios de eficiencia permiten evaluar la prima de</w:t>
      </w:r>
      <w:r>
        <w:rPr>
          <w:rFonts w:ascii="Calibri" w:hAnsi="Calibri"/>
          <w:color w:val="222222"/>
        </w:rPr>
        <w:t xml:space="preserve"> rentabilidad excedente generada por un activo por cada unidad de riesgo asumida. Constituyen el núcleo cuantitativo del Filtro de Atletas en el Sistema Maestro 8.4.</w:t>
      </w:r>
    </w:p>
    <w:p w:rsidR="00BE4C5C" w:rsidRDefault="00F47D43">
      <w:pPr>
        <w:pStyle w:val="Ttulo2"/>
        <w:spacing w:after="80"/>
      </w:pPr>
      <w:r>
        <w:rPr>
          <w:rFonts w:ascii="Calibri" w:hAnsi="Calibri"/>
          <w:color w:val="4A777A"/>
          <w:sz w:val="25"/>
        </w:rPr>
        <w:t>3.1. Ratio de Sharpe Clásico (SR)</w:t>
      </w:r>
    </w:p>
    <w:p w:rsidR="00BE4C5C" w:rsidRDefault="00F47D43">
      <w:pPr>
        <w:spacing w:after="80"/>
      </w:pPr>
      <w:r>
        <w:rPr>
          <w:rFonts w:ascii="Calibri" w:hAnsi="Calibri"/>
          <w:b/>
          <w:color w:val="222222"/>
        </w:rPr>
        <w:t xml:space="preserve">Definición: </w:t>
      </w:r>
      <w:r>
        <w:rPr>
          <w:rFonts w:ascii="Calibri" w:hAnsi="Calibri"/>
          <w:color w:val="222222"/>
        </w:rPr>
        <w:t xml:space="preserve">Mide la rentabilidad excedente generada </w:t>
      </w:r>
      <w:r>
        <w:rPr>
          <w:rFonts w:ascii="Calibri" w:hAnsi="Calibri"/>
          <w:color w:val="222222"/>
        </w:rPr>
        <w:t>sobre la tasa libre de riesgo (R_f) por unidad de volatilidad total (desviación estándar σ_i).</w:t>
      </w:r>
    </w:p>
    <w:p w:rsidR="00BE4C5C" w:rsidRDefault="00F47D43">
      <w:pPr>
        <w:spacing w:before="80" w:after="160"/>
        <w:ind w:left="360"/>
      </w:pPr>
      <w:r>
        <w:rPr>
          <w:rFonts w:ascii="Consolas" w:hAnsi="Consolas"/>
          <w:b/>
          <w:color w:val="1B365D"/>
          <w:sz w:val="20"/>
        </w:rPr>
        <w:t>Fórmula:   Sharpe_i = (E[R_i] - R_f) / σ_i</w:t>
      </w:r>
      <w:r>
        <w:rPr>
          <w:rFonts w:ascii="Consolas" w:hAnsi="Consolas"/>
          <w:b/>
          <w:color w:val="1B365D"/>
          <w:sz w:val="20"/>
        </w:rPr>
        <w:br/>
        <w:t>Umbral Objetivo:   SR &gt; 1.0 (Exigido en periodos de ancla 3, 5 y 10 años).</w:t>
      </w:r>
    </w:p>
    <w:p w:rsidR="00BE4C5C" w:rsidRDefault="00F47D43">
      <w:pPr>
        <w:pStyle w:val="Ttulo2"/>
        <w:spacing w:after="80"/>
      </w:pPr>
      <w:r>
        <w:rPr>
          <w:rFonts w:ascii="Calibri" w:hAnsi="Calibri"/>
          <w:color w:val="4A777A"/>
          <w:sz w:val="25"/>
        </w:rPr>
        <w:t>3.2. Ratio de Sortino (SOR) y Downside Risk</w:t>
      </w:r>
    </w:p>
    <w:p w:rsidR="00BE4C5C" w:rsidRDefault="00F47D43">
      <w:pPr>
        <w:spacing w:after="80"/>
      </w:pPr>
      <w:r>
        <w:rPr>
          <w:rFonts w:ascii="Calibri" w:hAnsi="Calibri"/>
          <w:b/>
          <w:color w:val="222222"/>
        </w:rPr>
        <w:t xml:space="preserve">Definición: </w:t>
      </w:r>
      <w:r>
        <w:rPr>
          <w:rFonts w:ascii="Calibri" w:hAnsi="Calibri"/>
          <w:color w:val="222222"/>
        </w:rPr>
        <w:t>Mide el exceso de retorno ajustado únicamente por la volatilidad bajista (downside risk), evitando penalizar la volatilidad alcista que beneficia al inversor. Mide el riesgo de pérdida real.</w:t>
      </w:r>
    </w:p>
    <w:p w:rsidR="00BE4C5C" w:rsidRDefault="00F47D43">
      <w:pPr>
        <w:spacing w:before="80" w:after="160"/>
        <w:ind w:left="360"/>
      </w:pPr>
      <w:r>
        <w:rPr>
          <w:rFonts w:ascii="Consolas" w:hAnsi="Consolas"/>
          <w:b/>
          <w:color w:val="1B365D"/>
          <w:sz w:val="20"/>
        </w:rPr>
        <w:t>Fórmula General:   Sortino_i = (E[R_i] - R_f) / √[LP</w:t>
      </w:r>
      <w:r>
        <w:rPr>
          <w:rFonts w:ascii="Consolas" w:hAnsi="Consolas"/>
          <w:b/>
          <w:color w:val="1B365D"/>
          <w:sz w:val="20"/>
        </w:rPr>
        <w:t>M(i, R_f, 2)]</w:t>
      </w:r>
      <w:r>
        <w:rPr>
          <w:rFonts w:ascii="Consolas" w:hAnsi="Consolas"/>
          <w:b/>
          <w:color w:val="1B365D"/>
          <w:sz w:val="20"/>
        </w:rPr>
        <w:br/>
        <w:t>Momento Parcial Inferior (LPM_2):   LPM(i, R_f, 2) = (1 / n) × Σ_{t=1}^{n} [max(R_f - R_{i,t}, 0)]²</w:t>
      </w:r>
      <w:r>
        <w:rPr>
          <w:rFonts w:ascii="Consolas" w:hAnsi="Consolas"/>
          <w:b/>
          <w:color w:val="1B365D"/>
          <w:sz w:val="20"/>
        </w:rPr>
        <w:br/>
        <w:t>Umbral Objetivo:   SOR &gt; 1.0 (Obligatorio e innegociable en periodos estructurales).</w:t>
      </w:r>
    </w:p>
    <w:p w:rsidR="00BE4C5C" w:rsidRDefault="00F47D43">
      <w:pPr>
        <w:pStyle w:val="Ttulo2"/>
        <w:spacing w:after="80"/>
      </w:pPr>
      <w:r>
        <w:rPr>
          <w:rFonts w:ascii="Calibri" w:hAnsi="Calibri"/>
          <w:color w:val="4A777A"/>
          <w:sz w:val="25"/>
        </w:rPr>
        <w:t>3.3. Fundamental Sharpe Ratio (FSR) - Filtro de Kalman</w:t>
      </w:r>
    </w:p>
    <w:p w:rsidR="00BE4C5C" w:rsidRDefault="00F47D43">
      <w:pPr>
        <w:spacing w:after="80"/>
      </w:pPr>
      <w:r>
        <w:rPr>
          <w:rFonts w:ascii="Calibri" w:hAnsi="Calibri"/>
          <w:b/>
          <w:color w:val="222222"/>
        </w:rPr>
        <w:t xml:space="preserve">Definición: </w:t>
      </w:r>
      <w:r>
        <w:rPr>
          <w:rFonts w:ascii="Calibri" w:hAnsi="Calibri"/>
          <w:color w:val="222222"/>
        </w:rPr>
        <w:t>Desarrollado bajo la metodología de Gatfaoui, utiliza el Filtro de Kalman para extraer el componente latente puro de desempeño del activo, depurando el Sharpe tradicional de distorsiones por tendencias de mercado (MktPremium) y fluctuaciones de</w:t>
      </w:r>
      <w:r>
        <w:rPr>
          <w:rFonts w:ascii="Calibri" w:hAnsi="Calibri"/>
          <w:color w:val="222222"/>
        </w:rPr>
        <w:t xml:space="preserve"> volatilidad implícita (ln(VIX)).</w:t>
      </w:r>
    </w:p>
    <w:p w:rsidR="00BE4C5C" w:rsidRDefault="00F47D43">
      <w:pPr>
        <w:spacing w:before="80" w:after="240"/>
        <w:ind w:left="360"/>
      </w:pPr>
      <w:r>
        <w:rPr>
          <w:rFonts w:ascii="Consolas" w:hAnsi="Consolas"/>
          <w:b/>
          <w:color w:val="1B365D"/>
          <w:sz w:val="20"/>
        </w:rPr>
        <w:t>Ecuación de Medida (Dinámica Observable):   SR_{it} = FSR_{it} + a_i · MktPremium_t + b_i · ln(VIX_t) + u_{it}</w:t>
      </w:r>
      <w:r>
        <w:rPr>
          <w:rFonts w:ascii="Consolas" w:hAnsi="Consolas"/>
          <w:b/>
          <w:color w:val="1B365D"/>
          <w:sz w:val="20"/>
        </w:rPr>
        <w:br/>
        <w:t>Ecuación de Estado (Componente Latente Puro): FSR_{it} = c_i · cos(d_i · t) + f_i · sin(g_i · t) + v_{it}</w:t>
      </w:r>
      <w:r>
        <w:rPr>
          <w:rFonts w:ascii="Consolas" w:hAnsi="Consolas"/>
          <w:b/>
          <w:color w:val="1B365D"/>
          <w:sz w:val="20"/>
        </w:rPr>
        <w:br/>
        <w:t>Umbra</w:t>
      </w:r>
      <w:r>
        <w:rPr>
          <w:rFonts w:ascii="Consolas" w:hAnsi="Consolas"/>
          <w:b/>
          <w:color w:val="1B365D"/>
          <w:sz w:val="20"/>
        </w:rPr>
        <w:t>l Objetivo:   FSR &gt; 0 (Positivo y estable).</w:t>
      </w:r>
    </w:p>
    <w:p w:rsidR="00BE4C5C" w:rsidRDefault="00F47D43">
      <w:pPr>
        <w:pStyle w:val="Ttulo1"/>
        <w:spacing w:before="320" w:after="120"/>
      </w:pPr>
      <w:r>
        <w:rPr>
          <w:rFonts w:ascii="Calibri" w:hAnsi="Calibri"/>
          <w:color w:val="1B365D"/>
          <w:sz w:val="30"/>
        </w:rPr>
        <w:lastRenderedPageBreak/>
        <w:t>4. MATRIZ RESUMEN DE APLICACIÓN EN EL SISTEMA MAESTRO 8.4</w:t>
      </w:r>
    </w:p>
    <w:tbl>
      <w:tblPr>
        <w:tblW w:w="0" w:type="auto"/>
        <w:jc w:val="center"/>
        <w:tblLayout w:type="fixed"/>
        <w:tblLook w:val="04A0" w:firstRow="1" w:lastRow="0" w:firstColumn="1" w:lastColumn="0" w:noHBand="0" w:noVBand="1"/>
      </w:tblPr>
      <w:tblGrid>
        <w:gridCol w:w="2160"/>
        <w:gridCol w:w="3168"/>
        <w:gridCol w:w="1728"/>
        <w:gridCol w:w="2304"/>
      </w:tblGrid>
      <w:tr w:rsidR="00BE4C5C">
        <w:trPr>
          <w:jc w:val="center"/>
        </w:trPr>
        <w:tc>
          <w:tcPr>
            <w:tcW w:w="2160" w:type="dxa"/>
            <w:shd w:val="clear" w:color="auto" w:fill="1B365D"/>
            <w:tcMar>
              <w:top w:w="120" w:type="dxa"/>
              <w:left w:w="120" w:type="dxa"/>
              <w:bottom w:w="120" w:type="dxa"/>
              <w:right w:w="120" w:type="dxa"/>
            </w:tcMar>
          </w:tcPr>
          <w:p w:rsidR="00BE4C5C" w:rsidRDefault="00F47D43">
            <w:pPr>
              <w:jc w:val="center"/>
            </w:pPr>
            <w:r>
              <w:rPr>
                <w:rFonts w:ascii="Calibri" w:hAnsi="Calibri"/>
                <w:b/>
                <w:color w:val="FFFFFF"/>
                <w:sz w:val="20"/>
              </w:rPr>
              <w:t>Métrica</w:t>
            </w:r>
          </w:p>
        </w:tc>
        <w:tc>
          <w:tcPr>
            <w:tcW w:w="3168" w:type="dxa"/>
            <w:shd w:val="clear" w:color="auto" w:fill="1B365D"/>
            <w:tcMar>
              <w:top w:w="120" w:type="dxa"/>
              <w:left w:w="120" w:type="dxa"/>
              <w:bottom w:w="120" w:type="dxa"/>
              <w:right w:w="120" w:type="dxa"/>
            </w:tcMar>
          </w:tcPr>
          <w:p w:rsidR="00BE4C5C" w:rsidRDefault="00F47D43">
            <w:pPr>
              <w:jc w:val="center"/>
            </w:pPr>
            <w:r>
              <w:rPr>
                <w:rFonts w:ascii="Calibri" w:hAnsi="Calibri"/>
                <w:b/>
                <w:color w:val="FFFFFF"/>
                <w:sz w:val="20"/>
              </w:rPr>
              <w:t>Fórmula Clave</w:t>
            </w:r>
          </w:p>
        </w:tc>
        <w:tc>
          <w:tcPr>
            <w:tcW w:w="1728" w:type="dxa"/>
            <w:shd w:val="clear" w:color="auto" w:fill="1B365D"/>
            <w:tcMar>
              <w:top w:w="120" w:type="dxa"/>
              <w:left w:w="120" w:type="dxa"/>
              <w:bottom w:w="120" w:type="dxa"/>
              <w:right w:w="120" w:type="dxa"/>
            </w:tcMar>
          </w:tcPr>
          <w:p w:rsidR="00BE4C5C" w:rsidRDefault="00F47D43">
            <w:pPr>
              <w:jc w:val="center"/>
            </w:pPr>
            <w:r>
              <w:rPr>
                <w:rFonts w:ascii="Calibri" w:hAnsi="Calibri"/>
                <w:b/>
                <w:color w:val="FFFFFF"/>
                <w:sz w:val="20"/>
              </w:rPr>
              <w:t>Umbral Objetivo</w:t>
            </w:r>
          </w:p>
        </w:tc>
        <w:tc>
          <w:tcPr>
            <w:tcW w:w="2304" w:type="dxa"/>
            <w:shd w:val="clear" w:color="auto" w:fill="1B365D"/>
            <w:tcMar>
              <w:top w:w="120" w:type="dxa"/>
              <w:left w:w="120" w:type="dxa"/>
              <w:bottom w:w="120" w:type="dxa"/>
              <w:right w:w="120" w:type="dxa"/>
            </w:tcMar>
          </w:tcPr>
          <w:p w:rsidR="00BE4C5C" w:rsidRDefault="00F47D43">
            <w:pPr>
              <w:jc w:val="center"/>
            </w:pPr>
            <w:r>
              <w:rPr>
                <w:rFonts w:ascii="Calibri" w:hAnsi="Calibri"/>
                <w:b/>
                <w:color w:val="FFFFFF"/>
                <w:sz w:val="20"/>
              </w:rPr>
              <w:t>Función en el Sistema</w:t>
            </w:r>
          </w:p>
        </w:tc>
      </w:tr>
      <w:tr w:rsidR="00BE4C5C">
        <w:trPr>
          <w:jc w:val="center"/>
        </w:trPr>
        <w:tc>
          <w:tcPr>
            <w:tcW w:w="2160" w:type="dxa"/>
            <w:shd w:val="clear" w:color="auto" w:fill="F2F4F7"/>
            <w:tcMar>
              <w:top w:w="100" w:type="dxa"/>
              <w:left w:w="100" w:type="dxa"/>
              <w:bottom w:w="100" w:type="dxa"/>
              <w:right w:w="100" w:type="dxa"/>
            </w:tcMar>
          </w:tcPr>
          <w:p w:rsidR="00BE4C5C" w:rsidRDefault="00F47D43">
            <w:r>
              <w:rPr>
                <w:rFonts w:ascii="Calibri" w:hAnsi="Calibri"/>
                <w:color w:val="222222"/>
                <w:sz w:val="19"/>
              </w:rPr>
              <w:t>Rentabilidad Simple (R_i)</w:t>
            </w:r>
          </w:p>
        </w:tc>
        <w:tc>
          <w:tcPr>
            <w:tcW w:w="3168" w:type="dxa"/>
            <w:shd w:val="clear" w:color="auto" w:fill="F2F4F7"/>
            <w:tcMar>
              <w:top w:w="100" w:type="dxa"/>
              <w:left w:w="100" w:type="dxa"/>
              <w:bottom w:w="100" w:type="dxa"/>
              <w:right w:w="100" w:type="dxa"/>
            </w:tcMar>
          </w:tcPr>
          <w:p w:rsidR="00BE4C5C" w:rsidRDefault="00F47D43">
            <w:r>
              <w:rPr>
                <w:rFonts w:ascii="Consolas" w:hAnsi="Consolas"/>
                <w:color w:val="222222"/>
                <w:sz w:val="17"/>
              </w:rPr>
              <w:t>R_i = [(P_cierre / P_apertura) - 1] × 100%</w:t>
            </w:r>
          </w:p>
        </w:tc>
        <w:tc>
          <w:tcPr>
            <w:tcW w:w="1728" w:type="dxa"/>
            <w:shd w:val="clear" w:color="auto" w:fill="F2F4F7"/>
            <w:tcMar>
              <w:top w:w="100" w:type="dxa"/>
              <w:left w:w="100" w:type="dxa"/>
              <w:bottom w:w="100" w:type="dxa"/>
              <w:right w:w="100" w:type="dxa"/>
            </w:tcMar>
          </w:tcPr>
          <w:p w:rsidR="00BE4C5C" w:rsidRDefault="00F47D43">
            <w:pPr>
              <w:jc w:val="center"/>
            </w:pPr>
            <w:r>
              <w:rPr>
                <w:rFonts w:ascii="Calibri" w:hAnsi="Calibri"/>
                <w:color w:val="222222"/>
                <w:sz w:val="19"/>
              </w:rPr>
              <w:t>R_i &gt; Min. % (ej. 8%)</w:t>
            </w:r>
          </w:p>
        </w:tc>
        <w:tc>
          <w:tcPr>
            <w:tcW w:w="2304" w:type="dxa"/>
            <w:shd w:val="clear" w:color="auto" w:fill="F2F4F7"/>
            <w:tcMar>
              <w:top w:w="100" w:type="dxa"/>
              <w:left w:w="100" w:type="dxa"/>
              <w:bottom w:w="100" w:type="dxa"/>
              <w:right w:w="100" w:type="dxa"/>
            </w:tcMar>
          </w:tcPr>
          <w:p w:rsidR="00BE4C5C" w:rsidRDefault="00F47D43">
            <w:r>
              <w:rPr>
                <w:rFonts w:ascii="Calibri" w:hAnsi="Calibri"/>
                <w:color w:val="222222"/>
                <w:sz w:val="19"/>
              </w:rPr>
              <w:t>Filtro inicial de crecimiento del capital</w:t>
            </w:r>
          </w:p>
        </w:tc>
      </w:tr>
      <w:tr w:rsidR="00BE4C5C">
        <w:trPr>
          <w:jc w:val="center"/>
        </w:trPr>
        <w:tc>
          <w:tcPr>
            <w:tcW w:w="2160" w:type="dxa"/>
            <w:shd w:val="clear" w:color="auto" w:fill="FFFFFF"/>
            <w:tcMar>
              <w:top w:w="100" w:type="dxa"/>
              <w:left w:w="100" w:type="dxa"/>
              <w:bottom w:w="100" w:type="dxa"/>
              <w:right w:w="100" w:type="dxa"/>
            </w:tcMar>
          </w:tcPr>
          <w:p w:rsidR="00BE4C5C" w:rsidRDefault="00F47D43">
            <w:r>
              <w:rPr>
                <w:rFonts w:ascii="Calibri" w:hAnsi="Calibri"/>
                <w:color w:val="222222"/>
                <w:sz w:val="19"/>
              </w:rPr>
              <w:t>Volatilidad (σ)</w:t>
            </w:r>
          </w:p>
        </w:tc>
        <w:tc>
          <w:tcPr>
            <w:tcW w:w="3168" w:type="dxa"/>
            <w:shd w:val="clear" w:color="auto" w:fill="FFFFFF"/>
            <w:tcMar>
              <w:top w:w="100" w:type="dxa"/>
              <w:left w:w="100" w:type="dxa"/>
              <w:bottom w:w="100" w:type="dxa"/>
              <w:right w:w="100" w:type="dxa"/>
            </w:tcMar>
          </w:tcPr>
          <w:p w:rsidR="00BE4C5C" w:rsidRDefault="00F47D43">
            <w:r>
              <w:rPr>
                <w:rFonts w:ascii="Consolas" w:hAnsi="Consolas"/>
                <w:color w:val="222222"/>
                <w:sz w:val="17"/>
              </w:rPr>
              <w:t>σ = √[Σ(R_i - R̄)² / (n - 1)]</w:t>
            </w:r>
          </w:p>
        </w:tc>
        <w:tc>
          <w:tcPr>
            <w:tcW w:w="1728" w:type="dxa"/>
            <w:shd w:val="clear" w:color="auto" w:fill="FFFFFF"/>
            <w:tcMar>
              <w:top w:w="100" w:type="dxa"/>
              <w:left w:w="100" w:type="dxa"/>
              <w:bottom w:w="100" w:type="dxa"/>
              <w:right w:w="100" w:type="dxa"/>
            </w:tcMar>
          </w:tcPr>
          <w:p w:rsidR="00BE4C5C" w:rsidRDefault="00F47D43">
            <w:pPr>
              <w:jc w:val="center"/>
            </w:pPr>
            <w:r>
              <w:rPr>
                <w:rFonts w:ascii="Calibri" w:hAnsi="Calibri"/>
                <w:color w:val="222222"/>
                <w:sz w:val="19"/>
              </w:rPr>
              <w:t>Clasificación de Perfil</w:t>
            </w:r>
          </w:p>
        </w:tc>
        <w:tc>
          <w:tcPr>
            <w:tcW w:w="2304" w:type="dxa"/>
            <w:shd w:val="clear" w:color="auto" w:fill="FFFFFF"/>
            <w:tcMar>
              <w:top w:w="100" w:type="dxa"/>
              <w:left w:w="100" w:type="dxa"/>
              <w:bottom w:w="100" w:type="dxa"/>
              <w:right w:w="100" w:type="dxa"/>
            </w:tcMar>
          </w:tcPr>
          <w:p w:rsidR="00BE4C5C" w:rsidRDefault="00F47D43">
            <w:r>
              <w:rPr>
                <w:rFonts w:ascii="Calibri" w:hAnsi="Calibri"/>
                <w:color w:val="222222"/>
                <w:sz w:val="19"/>
              </w:rPr>
              <w:t>Mapeo del nivel de riesgo absoluto</w:t>
            </w:r>
          </w:p>
        </w:tc>
      </w:tr>
      <w:tr w:rsidR="00BE4C5C">
        <w:trPr>
          <w:jc w:val="center"/>
        </w:trPr>
        <w:tc>
          <w:tcPr>
            <w:tcW w:w="2160" w:type="dxa"/>
            <w:shd w:val="clear" w:color="auto" w:fill="F2F4F7"/>
            <w:tcMar>
              <w:top w:w="100" w:type="dxa"/>
              <w:left w:w="100" w:type="dxa"/>
              <w:bottom w:w="100" w:type="dxa"/>
              <w:right w:w="100" w:type="dxa"/>
            </w:tcMar>
          </w:tcPr>
          <w:p w:rsidR="00BE4C5C" w:rsidRDefault="00F47D43">
            <w:r>
              <w:rPr>
                <w:rFonts w:ascii="Calibri" w:hAnsi="Calibri"/>
                <w:color w:val="222222"/>
                <w:sz w:val="19"/>
              </w:rPr>
              <w:t>Máximo Drawdown (MDD)</w:t>
            </w:r>
          </w:p>
        </w:tc>
        <w:tc>
          <w:tcPr>
            <w:tcW w:w="3168" w:type="dxa"/>
            <w:shd w:val="clear" w:color="auto" w:fill="F2F4F7"/>
            <w:tcMar>
              <w:top w:w="100" w:type="dxa"/>
              <w:left w:w="100" w:type="dxa"/>
              <w:bottom w:w="100" w:type="dxa"/>
              <w:right w:w="100" w:type="dxa"/>
            </w:tcMar>
          </w:tcPr>
          <w:p w:rsidR="00BE4C5C" w:rsidRDefault="00F47D43">
            <w:r>
              <w:rPr>
                <w:rFonts w:ascii="Consolas" w:hAnsi="Consolas"/>
                <w:color w:val="222222"/>
                <w:sz w:val="17"/>
              </w:rPr>
              <w:t>MDD = [(P_pico - P_valle) / P_pico] × 100%</w:t>
            </w:r>
          </w:p>
        </w:tc>
        <w:tc>
          <w:tcPr>
            <w:tcW w:w="1728" w:type="dxa"/>
            <w:shd w:val="clear" w:color="auto" w:fill="F2F4F7"/>
            <w:tcMar>
              <w:top w:w="100" w:type="dxa"/>
              <w:left w:w="100" w:type="dxa"/>
              <w:bottom w:w="100" w:type="dxa"/>
              <w:right w:w="100" w:type="dxa"/>
            </w:tcMar>
          </w:tcPr>
          <w:p w:rsidR="00BE4C5C" w:rsidRDefault="00F47D43">
            <w:pPr>
              <w:jc w:val="center"/>
            </w:pPr>
            <w:r>
              <w:rPr>
                <w:rFonts w:ascii="Calibri" w:hAnsi="Calibri"/>
                <w:color w:val="222222"/>
                <w:sz w:val="19"/>
              </w:rPr>
              <w:t>MDD &lt; 25% - 30%</w:t>
            </w:r>
          </w:p>
        </w:tc>
        <w:tc>
          <w:tcPr>
            <w:tcW w:w="2304" w:type="dxa"/>
            <w:shd w:val="clear" w:color="auto" w:fill="F2F4F7"/>
            <w:tcMar>
              <w:top w:w="100" w:type="dxa"/>
              <w:left w:w="100" w:type="dxa"/>
              <w:bottom w:w="100" w:type="dxa"/>
              <w:right w:w="100" w:type="dxa"/>
            </w:tcMar>
          </w:tcPr>
          <w:p w:rsidR="00BE4C5C" w:rsidRDefault="00F47D43">
            <w:r>
              <w:rPr>
                <w:rFonts w:ascii="Calibri" w:hAnsi="Calibri"/>
                <w:color w:val="222222"/>
                <w:sz w:val="19"/>
              </w:rPr>
              <w:t xml:space="preserve">Escudo contra caídas de </w:t>
            </w:r>
            <w:r>
              <w:rPr>
                <w:rFonts w:ascii="Calibri" w:hAnsi="Calibri"/>
                <w:color w:val="222222"/>
                <w:sz w:val="19"/>
              </w:rPr>
              <w:t>cola y stop-loss</w:t>
            </w:r>
          </w:p>
        </w:tc>
      </w:tr>
      <w:tr w:rsidR="00BE4C5C">
        <w:trPr>
          <w:jc w:val="center"/>
        </w:trPr>
        <w:tc>
          <w:tcPr>
            <w:tcW w:w="2160" w:type="dxa"/>
            <w:shd w:val="clear" w:color="auto" w:fill="FFFFFF"/>
            <w:tcMar>
              <w:top w:w="100" w:type="dxa"/>
              <w:left w:w="100" w:type="dxa"/>
              <w:bottom w:w="100" w:type="dxa"/>
              <w:right w:w="100" w:type="dxa"/>
            </w:tcMar>
          </w:tcPr>
          <w:p w:rsidR="00BE4C5C" w:rsidRDefault="00F47D43">
            <w:r>
              <w:rPr>
                <w:rFonts w:ascii="Calibri" w:hAnsi="Calibri"/>
                <w:color w:val="222222"/>
                <w:sz w:val="19"/>
              </w:rPr>
              <w:t>Sharpe Ratio (SR)</w:t>
            </w:r>
          </w:p>
        </w:tc>
        <w:tc>
          <w:tcPr>
            <w:tcW w:w="3168" w:type="dxa"/>
            <w:shd w:val="clear" w:color="auto" w:fill="FFFFFF"/>
            <w:tcMar>
              <w:top w:w="100" w:type="dxa"/>
              <w:left w:w="100" w:type="dxa"/>
              <w:bottom w:w="100" w:type="dxa"/>
              <w:right w:w="100" w:type="dxa"/>
            </w:tcMar>
          </w:tcPr>
          <w:p w:rsidR="00BE4C5C" w:rsidRDefault="00F47D43">
            <w:r>
              <w:rPr>
                <w:rFonts w:ascii="Consolas" w:hAnsi="Consolas"/>
                <w:color w:val="222222"/>
                <w:sz w:val="17"/>
              </w:rPr>
              <w:t>SR = (E[R_i] - R_f) / σ_i</w:t>
            </w:r>
          </w:p>
        </w:tc>
        <w:tc>
          <w:tcPr>
            <w:tcW w:w="1728" w:type="dxa"/>
            <w:shd w:val="clear" w:color="auto" w:fill="FFFFFF"/>
            <w:tcMar>
              <w:top w:w="100" w:type="dxa"/>
              <w:left w:w="100" w:type="dxa"/>
              <w:bottom w:w="100" w:type="dxa"/>
              <w:right w:w="100" w:type="dxa"/>
            </w:tcMar>
          </w:tcPr>
          <w:p w:rsidR="00BE4C5C" w:rsidRDefault="00F47D43">
            <w:pPr>
              <w:jc w:val="center"/>
            </w:pPr>
            <w:r>
              <w:rPr>
                <w:rFonts w:ascii="Calibri" w:hAnsi="Calibri"/>
                <w:color w:val="222222"/>
                <w:sz w:val="19"/>
              </w:rPr>
              <w:t>SR &gt; 1.0</w:t>
            </w:r>
          </w:p>
        </w:tc>
        <w:tc>
          <w:tcPr>
            <w:tcW w:w="2304" w:type="dxa"/>
            <w:shd w:val="clear" w:color="auto" w:fill="FFFFFF"/>
            <w:tcMar>
              <w:top w:w="100" w:type="dxa"/>
              <w:left w:w="100" w:type="dxa"/>
              <w:bottom w:w="100" w:type="dxa"/>
              <w:right w:w="100" w:type="dxa"/>
            </w:tcMar>
          </w:tcPr>
          <w:p w:rsidR="00BE4C5C" w:rsidRDefault="00F47D43">
            <w:r>
              <w:rPr>
                <w:rFonts w:ascii="Calibri" w:hAnsi="Calibri"/>
                <w:color w:val="222222"/>
                <w:sz w:val="19"/>
              </w:rPr>
              <w:t>Criba de eficiencia global (4 de 5 periodos)</w:t>
            </w:r>
          </w:p>
        </w:tc>
      </w:tr>
      <w:tr w:rsidR="00BE4C5C">
        <w:trPr>
          <w:jc w:val="center"/>
        </w:trPr>
        <w:tc>
          <w:tcPr>
            <w:tcW w:w="2160" w:type="dxa"/>
            <w:shd w:val="clear" w:color="auto" w:fill="F2F4F7"/>
            <w:tcMar>
              <w:top w:w="100" w:type="dxa"/>
              <w:left w:w="100" w:type="dxa"/>
              <w:bottom w:w="100" w:type="dxa"/>
              <w:right w:w="100" w:type="dxa"/>
            </w:tcMar>
          </w:tcPr>
          <w:p w:rsidR="00BE4C5C" w:rsidRDefault="00F47D43">
            <w:r>
              <w:rPr>
                <w:rFonts w:ascii="Calibri" w:hAnsi="Calibri"/>
                <w:color w:val="222222"/>
                <w:sz w:val="19"/>
              </w:rPr>
              <w:t>Sortino Ratio (SOR)</w:t>
            </w:r>
          </w:p>
        </w:tc>
        <w:tc>
          <w:tcPr>
            <w:tcW w:w="3168" w:type="dxa"/>
            <w:shd w:val="clear" w:color="auto" w:fill="F2F4F7"/>
            <w:tcMar>
              <w:top w:w="100" w:type="dxa"/>
              <w:left w:w="100" w:type="dxa"/>
              <w:bottom w:w="100" w:type="dxa"/>
              <w:right w:w="100" w:type="dxa"/>
            </w:tcMar>
          </w:tcPr>
          <w:p w:rsidR="00BE4C5C" w:rsidRDefault="00F47D43">
            <w:r>
              <w:rPr>
                <w:rFonts w:ascii="Consolas" w:hAnsi="Consolas"/>
                <w:color w:val="222222"/>
                <w:sz w:val="17"/>
              </w:rPr>
              <w:t>SOR = (E[R_i] - R_f) / √LPM_2</w:t>
            </w:r>
          </w:p>
        </w:tc>
        <w:tc>
          <w:tcPr>
            <w:tcW w:w="1728" w:type="dxa"/>
            <w:shd w:val="clear" w:color="auto" w:fill="F2F4F7"/>
            <w:tcMar>
              <w:top w:w="100" w:type="dxa"/>
              <w:left w:w="100" w:type="dxa"/>
              <w:bottom w:w="100" w:type="dxa"/>
              <w:right w:w="100" w:type="dxa"/>
            </w:tcMar>
          </w:tcPr>
          <w:p w:rsidR="00BE4C5C" w:rsidRDefault="00F47D43">
            <w:pPr>
              <w:jc w:val="center"/>
            </w:pPr>
            <w:r>
              <w:rPr>
                <w:rFonts w:ascii="Calibri" w:hAnsi="Calibri"/>
                <w:color w:val="222222"/>
                <w:sz w:val="19"/>
              </w:rPr>
              <w:t>SOR &gt; 1.0 (Obligatorio)</w:t>
            </w:r>
          </w:p>
        </w:tc>
        <w:tc>
          <w:tcPr>
            <w:tcW w:w="2304" w:type="dxa"/>
            <w:shd w:val="clear" w:color="auto" w:fill="F2F4F7"/>
            <w:tcMar>
              <w:top w:w="100" w:type="dxa"/>
              <w:left w:w="100" w:type="dxa"/>
              <w:bottom w:w="100" w:type="dxa"/>
              <w:right w:w="100" w:type="dxa"/>
            </w:tcMar>
          </w:tcPr>
          <w:p w:rsidR="00BE4C5C" w:rsidRDefault="00F47D43">
            <w:r>
              <w:rPr>
                <w:rFonts w:ascii="Calibri" w:hAnsi="Calibri"/>
                <w:color w:val="222222"/>
                <w:sz w:val="19"/>
              </w:rPr>
              <w:t>Control innegociable de riesgo de caída</w:t>
            </w:r>
          </w:p>
        </w:tc>
      </w:tr>
      <w:tr w:rsidR="00BE4C5C">
        <w:trPr>
          <w:jc w:val="center"/>
        </w:trPr>
        <w:tc>
          <w:tcPr>
            <w:tcW w:w="2160" w:type="dxa"/>
            <w:shd w:val="clear" w:color="auto" w:fill="FFFFFF"/>
            <w:tcMar>
              <w:top w:w="100" w:type="dxa"/>
              <w:left w:w="100" w:type="dxa"/>
              <w:bottom w:w="100" w:type="dxa"/>
              <w:right w:w="100" w:type="dxa"/>
            </w:tcMar>
          </w:tcPr>
          <w:p w:rsidR="00BE4C5C" w:rsidRDefault="00F47D43">
            <w:r>
              <w:rPr>
                <w:rFonts w:ascii="Calibri" w:hAnsi="Calibri"/>
                <w:color w:val="222222"/>
                <w:sz w:val="19"/>
              </w:rPr>
              <w:t>Fundamental Sharpe (FSR)</w:t>
            </w:r>
          </w:p>
        </w:tc>
        <w:tc>
          <w:tcPr>
            <w:tcW w:w="3168" w:type="dxa"/>
            <w:shd w:val="clear" w:color="auto" w:fill="FFFFFF"/>
            <w:tcMar>
              <w:top w:w="100" w:type="dxa"/>
              <w:left w:w="100" w:type="dxa"/>
              <w:bottom w:w="100" w:type="dxa"/>
              <w:right w:w="100" w:type="dxa"/>
            </w:tcMar>
          </w:tcPr>
          <w:p w:rsidR="00BE4C5C" w:rsidRDefault="00F47D43">
            <w:r>
              <w:rPr>
                <w:rFonts w:ascii="Consolas" w:hAnsi="Consolas"/>
                <w:color w:val="222222"/>
                <w:sz w:val="17"/>
              </w:rPr>
              <w:t>FSR = SR - Noise(Mkt, VIX)</w:t>
            </w:r>
          </w:p>
        </w:tc>
        <w:tc>
          <w:tcPr>
            <w:tcW w:w="1728" w:type="dxa"/>
            <w:shd w:val="clear" w:color="auto" w:fill="FFFFFF"/>
            <w:tcMar>
              <w:top w:w="100" w:type="dxa"/>
              <w:left w:w="100" w:type="dxa"/>
              <w:bottom w:w="100" w:type="dxa"/>
              <w:right w:w="100" w:type="dxa"/>
            </w:tcMar>
          </w:tcPr>
          <w:p w:rsidR="00BE4C5C" w:rsidRDefault="00F47D43">
            <w:pPr>
              <w:jc w:val="center"/>
            </w:pPr>
            <w:r>
              <w:rPr>
                <w:rFonts w:ascii="Calibri" w:hAnsi="Calibri"/>
                <w:color w:val="222222"/>
                <w:sz w:val="19"/>
              </w:rPr>
              <w:t>FSR &gt; 0</w:t>
            </w:r>
          </w:p>
        </w:tc>
        <w:tc>
          <w:tcPr>
            <w:tcW w:w="2304" w:type="dxa"/>
            <w:shd w:val="clear" w:color="auto" w:fill="FFFFFF"/>
            <w:tcMar>
              <w:top w:w="100" w:type="dxa"/>
              <w:left w:w="100" w:type="dxa"/>
              <w:bottom w:w="100" w:type="dxa"/>
              <w:right w:w="100" w:type="dxa"/>
            </w:tcMar>
          </w:tcPr>
          <w:p w:rsidR="00BE4C5C" w:rsidRDefault="00F47D43">
            <w:r>
              <w:rPr>
                <w:rFonts w:ascii="Calibri" w:hAnsi="Calibri"/>
                <w:color w:val="222222"/>
                <w:sz w:val="19"/>
              </w:rPr>
              <w:t>Extracción de habilidad pura mediante Kalman</w:t>
            </w:r>
          </w:p>
        </w:tc>
      </w:tr>
    </w:tbl>
    <w:p w:rsidR="00F47D43" w:rsidRDefault="00F47D43"/>
    <w:sectPr w:rsidR="00F47D4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D43" w:rsidRDefault="00F47D43">
      <w:pPr>
        <w:spacing w:after="0" w:line="240" w:lineRule="auto"/>
      </w:pPr>
      <w:r>
        <w:separator/>
      </w:r>
    </w:p>
  </w:endnote>
  <w:endnote w:type="continuationSeparator" w:id="0">
    <w:p w:rsidR="00F47D43" w:rsidRDefault="00F47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C5C" w:rsidRDefault="00F47D43">
    <w:pPr>
      <w:pStyle w:val="Piedepgina"/>
      <w:jc w:val="center"/>
    </w:pPr>
    <w:r>
      <w:rPr>
        <w:rFonts w:ascii="Calibri" w:hAnsi="Calibri"/>
        <w:color w:val="787878"/>
        <w:sz w:val="17"/>
      </w:rPr>
      <w:t xml:space="preserve">Documento Técnico de Referencia — Selección y </w:t>
    </w:r>
    <w:r>
      <w:rPr>
        <w:rFonts w:ascii="Calibri" w:hAnsi="Calibri"/>
        <w:color w:val="787878"/>
        <w:sz w:val="17"/>
      </w:rPr>
      <w:t>Optimización de Portafolio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D43" w:rsidRDefault="00F47D43">
      <w:pPr>
        <w:spacing w:after="0" w:line="240" w:lineRule="auto"/>
      </w:pPr>
      <w:r>
        <w:separator/>
      </w:r>
    </w:p>
  </w:footnote>
  <w:footnote w:type="continuationSeparator" w:id="0">
    <w:p w:rsidR="00F47D43" w:rsidRDefault="00F47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C5C" w:rsidRDefault="00F47D43">
    <w:pPr>
      <w:pStyle w:val="Encabezado"/>
      <w:jc w:val="right"/>
    </w:pPr>
    <w:r>
      <w:rPr>
        <w:rFonts w:ascii="Calibri" w:hAnsi="Calibri"/>
        <w:color w:val="787878"/>
        <w:sz w:val="17"/>
      </w:rPr>
      <w:t>SISTEMA MAESTRO 8.4 | Formulario Técnico de Métricas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4F54"/>
    <w:rsid w:val="00AA1D8D"/>
    <w:rsid w:val="00B11F20"/>
    <w:rsid w:val="00B47730"/>
    <w:rsid w:val="00BE4C5C"/>
    <w:rsid w:val="00CB0664"/>
    <w:rsid w:val="00F47D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A82B0"/>
  <w14:defaultImageDpi w14:val="300"/>
  <w15:docId w15:val="{BE9534FF-2BEF-45A5-AF1D-711B3656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69CFE-D6F2-4DB7-BECD-4F3C39F5C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784</Words>
  <Characters>4316</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Marcos Peña</cp:lastModifiedBy>
  <cp:revision>3</cp:revision>
  <dcterms:created xsi:type="dcterms:W3CDTF">2013-12-23T23:15:00Z</dcterms:created>
  <dcterms:modified xsi:type="dcterms:W3CDTF">2026-09-10T21:29:00Z</dcterms:modified>
  <cp:category/>
</cp:coreProperties>
</file>