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Arial" w:hAnsi="Arial"/>
          <w:b/>
          <w:sz w:val="24"/>
        </w:rPr>
        <w:t>PONTIFÍCIA UNIVERSIDADE CATÓLICA DO PARANÁ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  <w:t>Bacharelado em Ciência da Computação</w:t>
      </w:r>
    </w:p>
    <w:p>
      <w:pPr>
        <w:spacing w:before="0" w:after="3600"/>
        <w:ind w:firstLine="0"/>
        <w:jc w:val="center"/>
      </w:pPr>
      <w:r>
        <w:rPr>
          <w:rFonts w:ascii="Arial" w:hAnsi="Arial"/>
          <w:b w:val="0"/>
          <w:sz w:val="24"/>
        </w:rPr>
        <w:t>IA na Gestão de Negócios</w:t>
      </w:r>
    </w:p>
    <w:p>
      <w:pPr>
        <w:spacing w:before="0" w:after="3600"/>
        <w:ind w:firstLine="0"/>
        <w:jc w:val="center"/>
      </w:pPr>
      <w:r>
        <w:rPr>
          <w:rFonts w:ascii="Arial" w:hAnsi="Arial"/>
          <w:b/>
          <w:sz w:val="24"/>
        </w:rPr>
        <w:t>INTELIGÊNCIA ARTIFICIAL APLICADA À OTIMIZAÇÃO DA SEPARAÇÃO DE PEDIDOS (ORDER PICKING) EM CENTROS DE DISTRIBUIÇÃO: PROPOSTA DE ABORDAGEM COM META-HEURÍSTICAS BIOINSPIRADAS E APRENDIZADO DE MÁQUINA</w:t>
      </w:r>
    </w:p>
    <w:p>
      <w:pPr>
        <w:spacing w:before="0" w:after="3600"/>
        <w:ind w:firstLine="0"/>
        <w:jc w:val="center"/>
      </w:pPr>
      <w:r>
        <w:rPr>
          <w:rFonts w:ascii="Arial" w:hAnsi="Arial"/>
          <w:b w:val="0"/>
          <w:sz w:val="24"/>
        </w:rPr>
        <w:t>Marcos Daniel Santana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  <w:t>Curitiba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>
      <w:pPr>
        <w:keepNext/>
        <w:spacing w:before="360" w:after="120"/>
        <w:ind w:firstLine="0"/>
        <w:jc w:val="left"/>
      </w:pPr>
      <w:r>
        <w:rPr>
          <w:rFonts w:ascii="Arial" w:hAnsi="Arial"/>
          <w:b/>
          <w:sz w:val="24"/>
        </w:rPr>
        <w:t>1 INTRODUÇÃO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A consolidação do comércio eletrônico e das estratégias omnichannel converteu o prazo de entrega em atributo competitivo central: o consumidor que não encontra o produto disponível migra para o concorrente a um custo de troca praticamente nulo. A cadeia de suprimentos passa a operar com respostas mais rápidas e entregas mais frequentes, na lógica do </w:t>
      </w:r>
      <w:r>
        <w:rPr>
          <w:rFonts w:ascii="Arial" w:hAnsi="Arial"/>
          <w:i/>
          <w:sz w:val="24"/>
        </w:rPr>
        <w:t>Just-in-Time</w:t>
      </w:r>
      <w:r>
        <w:rPr>
          <w:rFonts w:ascii="Arial" w:hAnsi="Arial"/>
          <w:sz w:val="24"/>
        </w:rPr>
        <w:t xml:space="preserve">. Nesse cenário, o Centro de Distribuição (CD) deixou de ser um depósito para se tornar o principal ativo de nível de serviço da rede. Sua missão é dupla e internamente contraditória: amortecer a variação entre a programação dos fornecedores e a demanda real das lojas e, ao mesmo tempo, repor os pontos de venda sem gerar ruptura nem superestocagem. Para cumpri-la, executa quatro atividades básicas — recebimento, estocagem, separação e expedição —, além de acessórias como </w:t>
      </w:r>
      <w:r>
        <w:rPr>
          <w:rFonts w:ascii="Arial" w:hAnsi="Arial"/>
          <w:i/>
          <w:sz w:val="24"/>
        </w:rPr>
        <w:t>packing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cross-docking</w:t>
      </w:r>
      <w:r>
        <w:rPr>
          <w:rFonts w:ascii="Arial" w:hAnsi="Arial"/>
          <w:sz w:val="24"/>
        </w:rPr>
        <w:t>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Dentre elas, a separação de pedidos, ou </w:t>
      </w:r>
      <w:r>
        <w:rPr>
          <w:rFonts w:ascii="Arial" w:hAnsi="Arial"/>
          <w:i/>
          <w:sz w:val="24"/>
        </w:rPr>
        <w:t>order picking</w:t>
      </w:r>
      <w:r>
        <w:rPr>
          <w:rFonts w:ascii="Arial" w:hAnsi="Arial"/>
          <w:sz w:val="24"/>
        </w:rPr>
        <w:t>, é a mais crítica economicamente. De Koster, Le-Duc e Roodbergen (2007) estimam que responda por até 55% da despesa operacional de um armazém, e que a maior parcela desse custo seja consumida pelo deslocamento do separador entre os endereços de coleta — tempo que não agrega valor algum ao produto. Reduzir a distância percorrida é, portanto, a alavanca mais direta de que o gestor logístico dispõe para melhorar simultaneamente custo e nível de serviço.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 problema tratado neste relatório é exatamente esse. As decisões que determinam a distância percorrida — em que endereço armazenar cada item, como agrupar pedidos em lotes, em que sequência visitar os endereços e qual operador executa cada tarefa — são tomadas, na maior parte das operações brasileiras de porte médio, por regras estáticas embutidas no sistema de gerenciamento de armazém (WMS). São regras que desconsideram a sazonalidade da demanda, a afinidade entre produtos comprados em conjunto e o congestionamento gerado por dezenas de tarefas simultâneas nos mesmos corredores. O resultado é uma operação que consome mais mão de obra, equipamento e tempo do que o necessário para entregar o mesmo nível de serviço.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Os pontos de negócio abordados são: </w:t>
      </w:r>
      <w:r>
        <w:rPr>
          <w:rFonts w:ascii="Arial" w:hAnsi="Arial"/>
          <w:b/>
          <w:sz w:val="24"/>
        </w:rPr>
        <w:t>(i)</w:t>
      </w:r>
      <w:r>
        <w:rPr>
          <w:rFonts w:ascii="Arial" w:hAnsi="Arial"/>
          <w:sz w:val="24"/>
        </w:rPr>
        <w:t xml:space="preserve"> o custo operacional por linha separada; </w:t>
      </w:r>
      <w:r>
        <w:rPr>
          <w:rFonts w:ascii="Arial" w:hAnsi="Arial"/>
          <w:b/>
          <w:sz w:val="24"/>
        </w:rPr>
        <w:t>(ii)</w:t>
      </w:r>
      <w:r>
        <w:rPr>
          <w:rFonts w:ascii="Arial" w:hAnsi="Arial"/>
          <w:sz w:val="24"/>
        </w:rPr>
        <w:t xml:space="preserve"> a produtividade da mão de obra; </w:t>
      </w:r>
      <w:r>
        <w:rPr>
          <w:rFonts w:ascii="Arial" w:hAnsi="Arial"/>
          <w:b/>
          <w:sz w:val="24"/>
        </w:rPr>
        <w:t>(iii)</w:t>
      </w:r>
      <w:r>
        <w:rPr>
          <w:rFonts w:ascii="Arial" w:hAnsi="Arial"/>
          <w:sz w:val="24"/>
        </w:rPr>
        <w:t xml:space="preserve"> o cumprimento da janela de corte para expedição; </w:t>
      </w:r>
      <w:r>
        <w:rPr>
          <w:rFonts w:ascii="Arial" w:hAnsi="Arial"/>
          <w:b/>
          <w:sz w:val="24"/>
        </w:rPr>
        <w:t>(iv)</w:t>
      </w:r>
      <w:r>
        <w:rPr>
          <w:rFonts w:ascii="Arial" w:hAnsi="Arial"/>
          <w:sz w:val="24"/>
        </w:rPr>
        <w:t xml:space="preserve"> o nível de serviço às lojas, aferido pela ausência de ruptura; </w:t>
      </w:r>
      <w:r>
        <w:rPr>
          <w:rFonts w:ascii="Arial" w:hAnsi="Arial"/>
          <w:b/>
          <w:sz w:val="24"/>
        </w:rPr>
        <w:t>(v)</w:t>
      </w:r>
      <w:r>
        <w:rPr>
          <w:rFonts w:ascii="Arial" w:hAnsi="Arial"/>
          <w:sz w:val="24"/>
        </w:rPr>
        <w:t xml:space="preserve"> o congestionamento interno; e </w:t>
      </w:r>
      <w:r>
        <w:rPr>
          <w:rFonts w:ascii="Arial" w:hAnsi="Arial"/>
          <w:b/>
          <w:sz w:val="24"/>
        </w:rPr>
        <w:t>(vi)</w:t>
      </w:r>
      <w:r>
        <w:rPr>
          <w:rFonts w:ascii="Arial" w:hAnsi="Arial"/>
          <w:sz w:val="24"/>
        </w:rPr>
        <w:t xml:space="preserve"> a decisão entre otimizar o processo existente e adquirir tecnologia de automação.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1.1 Enquadramento do setor de mercado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 problema é característico do varejo e da distribuição atacadista, mas manifesta-se com igual intensidade em comércio eletrônico puro, operadores logísticos terceirizados (3PL), distribuição farmacêutica e autopeças. O denominador comum é a combinação de elevado número de SKUs ativos, alta frequência de pedidos com poucas linhas cada e janelas de expedição rígidas — condições que, coexistindo, tornam o deslocamento o gargalo dominante.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Para conferir concretude à proposta, adota-se como objeto uma empresa fictícia, porém dimensionada de forma representativa do porte médio brasileiro: a </w:t>
      </w:r>
      <w:r>
        <w:rPr>
          <w:rFonts w:ascii="Arial" w:hAnsi="Arial"/>
          <w:b/>
          <w:sz w:val="24"/>
        </w:rPr>
        <w:t>Rede Vetor Varejo S.A.</w:t>
      </w:r>
      <w:r>
        <w:rPr>
          <w:rFonts w:ascii="Arial" w:hAnsi="Arial"/>
          <w:sz w:val="24"/>
        </w:rPr>
        <w:t>, rede varejista omnichannel que opera um CD central próprio. O Quadro 1 sintetiza a operação, cujos parâmetros serão retomados ao longo do relatório.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1 – </w:t>
      </w:r>
      <w:r>
        <w:rPr>
          <w:rFonts w:ascii="Arial" w:hAnsi="Arial"/>
          <w:sz w:val="20"/>
        </w:rPr>
        <w:t>Caracterização do centro de distribuição objeto da proposta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Parâmetro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Área útil de armazenagem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14.000 m²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Número de ruas (corredores)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Estrutura vertical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3 níveis de picking + 4 níveis de armazenagem aérea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SKUs ativos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22.000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Lojas atendidas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120 lojas em 6 estados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Pedidos por dia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3.200 (2.100 de reposição de lojas + 1.100 de e-commerce)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Linhas por pedido (média)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18,0 (lojas) / 3,2 (e-commerce)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Linhas de separação por dia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aproximadamente 46.000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Separadores por turno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68, em 3 turnos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Equipamentos de movimentação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34 transpaleteiras, 12 empilhadeiras, 9 selecionadoras de pedidos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Sistema de gestão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WMS comercial integrado ao ERP corporativo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A convivência de dois perfis de separação no mesmo armazém torna o caso especialmente ilustrativo. A reposição de lojas produz pedidos grandes, previsíveis e majoritariamente em caixa fechada; o comércio eletrônico, pedidos pequenos, voláteis e em unidade de venda (</w:t>
      </w:r>
      <w:r>
        <w:rPr>
          <w:rFonts w:ascii="Arial" w:hAnsi="Arial"/>
          <w:i/>
          <w:sz w:val="24"/>
        </w:rPr>
        <w:t>each picking</w:t>
      </w:r>
      <w:r>
        <w:rPr>
          <w:rFonts w:ascii="Arial" w:hAnsi="Arial"/>
          <w:sz w:val="24"/>
        </w:rPr>
        <w:t>). Ambos disputam os mesmos corredores, equipamentos e equipe, mas respondem de forma distinta às técnicas de otimização — o que justifica, na Seção 3, a proposição de duas abordagens complementares em vez de uma solução única.</w:t>
      </w:r>
    </w:p>
    <w:p>
      <w:pPr>
        <w:keepNext/>
        <w:spacing w:before="360" w:after="120"/>
        <w:ind w:firstLine="0"/>
        <w:jc w:val="left"/>
      </w:pPr>
      <w:r>
        <w:rPr>
          <w:rFonts w:ascii="Arial" w:hAnsi="Arial"/>
          <w:b/>
          <w:sz w:val="24"/>
        </w:rPr>
        <w:t>2 DESCRIÇÃO DO PROBLEMA E DADOS ASSOCIADOS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2.1 Decomposição do problema em subproblemas acoplados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O que se descreve genericamente como “otimização do </w:t>
      </w:r>
      <w:r>
        <w:rPr>
          <w:rFonts w:ascii="Arial" w:hAnsi="Arial"/>
          <w:i/>
          <w:sz w:val="24"/>
        </w:rPr>
        <w:t>picking</w:t>
      </w:r>
      <w:r>
        <w:rPr>
          <w:rFonts w:ascii="Arial" w:hAnsi="Arial"/>
          <w:sz w:val="24"/>
        </w:rPr>
        <w:t>” é, na realidade, um conjunto de quatro problemas de decisão acoplados. Tratá-los como bloco único é a origem de boa parte das tentativas malsucedidas de melhoria observadas na prática empresarial.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(1) SLAP — Storage Location Assignment Problem.</w:t>
      </w:r>
      <w:r>
        <w:rPr>
          <w:rFonts w:ascii="Arial" w:hAnsi="Arial"/>
          <w:sz w:val="24"/>
        </w:rPr>
        <w:t xml:space="preserve"> Define em qual endereço físico cada SKU será armazenado. É a decisão de maior alcance, porque estabelece a geografia sobre a qual todas as demais operam: um item de altíssimo giro alocado no extremo oposto à doca impõe um custo de deslocamento que se repete em todas as viagens, todos os dias.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(2) OBP — Order Batching Problem.</w:t>
      </w:r>
      <w:r>
        <w:rPr>
          <w:rFonts w:ascii="Arial" w:hAnsi="Arial"/>
          <w:sz w:val="24"/>
        </w:rPr>
        <w:t xml:space="preserve"> Define como agrupar pedidos em lotes de separação. Separar cada pedido de e-commerce isoladamente significa percorrer o armazém para coletar, em média, 3,2 itens; agrupar pedidos que compartilham regiões amortiza a mesma viagem entre vários pedidos.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(3) PRP — Picker Routing Problem.</w:t>
      </w:r>
      <w:r>
        <w:rPr>
          <w:rFonts w:ascii="Arial" w:hAnsi="Arial"/>
          <w:sz w:val="24"/>
        </w:rPr>
        <w:t xml:space="preserve"> Define a sequência de visita aos endereços de um lote; é o subproblema mais estudado na literatura e o mais diretamente ligado à distância percorrida. </w:t>
      </w:r>
      <w:r>
        <w:rPr>
          <w:rFonts w:ascii="Arial" w:hAnsi="Arial"/>
          <w:b/>
          <w:sz w:val="24"/>
        </w:rPr>
        <w:t>(4) Designação de tarefas e controle de congestionamento.</w:t>
      </w:r>
      <w:r>
        <w:rPr>
          <w:rFonts w:ascii="Arial" w:hAnsi="Arial"/>
          <w:sz w:val="24"/>
        </w:rPr>
        <w:t xml:space="preserve"> Define qual operador e qual equipamento executam cada tarefa e quando. Como separação, ressuprimento e armazenagem ocorrem simultaneamente nos mesmos corredores, a má distribuição das tarefas no tempo produz filas e bloqueios — fenômeno análogo ao congestionamento urbano.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 acoplamento entre eles é o que torna o conjunto difícil: o endereçamento altera a matriz de distâncias que alimenta a roteirização, a formação de lotes determina quais endereços serão visitados na mesma viagem e a designação define quantos operadores disputarão o mesmo corredor. Otimizar cada subproblema isoladamente pode, inclusive, deteriorar o resultado global. O Quadro 2 apresenta a situação atual de cada um no CD analisado, que constitui a linha de base contra a qual os ganhos serão medidos.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2 – </w:t>
      </w:r>
      <w:r>
        <w:rPr>
          <w:rFonts w:ascii="Arial" w:hAnsi="Arial"/>
          <w:sz w:val="20"/>
        </w:rPr>
        <w:t>Subproblemas de decisão e situação atual (linha de base)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Subproblema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Decisão envolvida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Situação atual no CD analisado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SLAP – Endereçamento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Em que endereço armazenar cada SKU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Alocação estática por categoria mercadológica, revista uma vez por ano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OBP – Formação de lotes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Como agrupar pedidos em lotes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Agrupamento por ordem de chegada (FIFO) na onda, sem otimização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PRP – Roteirização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Em que sequência visitar os endereços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Heurística S-shape fixa, embutida no WMS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Designação de tarefas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Qual operador executa qual tarefa e quando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Por disponibilidade do operador, sem previsão de congestionamento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Do ponto de vista computacional, o PRP é uma variante do Problema do Caixeiro Viajante de Steiner e pertence à classe NP-difícil: um lote com 30 endereços admite, no limite teórico, 30! (cerca de 2,65 × 10³²) sequências possíveis. Somando-se a isso as 46.000 linhas diárias e a entrada e o cancelamento contínuos de pedidos, conclui-se que a solução precisa ser não apenas boa, mas obtida em segundos e capaz de se ajustar em tempo real — nicho das meta-heurísticas e das técnicas de inteligência artificial.</w:t>
      </w:r>
    </w:p>
    <w:p>
      <w:pPr>
        <w:keepNext/>
        <w:spacing w:line="240" w:lineRule="auto" w:before="240" w:after="60"/>
        <w:ind w:firstLine="0"/>
        <w:jc w:val="center"/>
      </w:pPr>
      <w:r>
        <w:rPr>
          <w:rFonts w:ascii="Arial" w:hAnsi="Arial"/>
          <w:b/>
          <w:sz w:val="20"/>
        </w:rPr>
        <w:t xml:space="preserve">Figura 1 – </w:t>
      </w:r>
      <w:r>
        <w:rPr>
          <w:rFonts w:ascii="Arial" w:hAnsi="Arial"/>
          <w:sz w:val="20"/>
        </w:rPr>
        <w:t>Representação esquemática do centro de distribuição como grafo de roteirização</w:t>
      </w:r>
    </w:p>
    <w:p>
      <w:pPr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8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yout_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40"/>
        <w:ind w:firstLine="0"/>
        <w:jc w:val="center"/>
      </w:pPr>
      <w:r>
        <w:rPr>
          <w:rFonts w:ascii="Arial" w:hAnsi="Arial"/>
          <w:sz w:val="18"/>
        </w:rPr>
        <w:t>Fonte: o autor (2026).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A Figura 1 ilustra a modelagem adotada: os vértices são os endereços de </w:t>
      </w:r>
      <w:r>
        <w:rPr>
          <w:rFonts w:ascii="Arial" w:hAnsi="Arial"/>
          <w:i/>
          <w:sz w:val="24"/>
        </w:rPr>
        <w:t>picking</w:t>
      </w:r>
      <w:r>
        <w:rPr>
          <w:rFonts w:ascii="Arial" w:hAnsi="Arial"/>
          <w:sz w:val="24"/>
        </w:rPr>
        <w:t xml:space="preserve"> e a doca de expedição, e as arestas são os trechos de corredor, ponderados pela distância real. Toda a proposta consiste, em última análise, em encurtar o percurso destacado — seja escolhendo uma sequência melhor, seja mudando os endereços que precisam ser visitados.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2.2 Dados de entrada necessários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Os Quadros 3 a 7 descrevem as cinco estruturas de dados necessárias, com campos, tipos e conteúdos. Duas são tabelas dimensionais — cadastro de produtos e mapa de endereçamento —, que descrevem o estado do sistema; as demais são tabelas de fatos, que registram o ocorrido.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3 – </w:t>
      </w:r>
      <w:r>
        <w:rPr>
          <w:rFonts w:ascii="Arial" w:hAnsi="Arial"/>
          <w:sz w:val="20"/>
        </w:rPr>
        <w:t>Cadastro de SKU (dimensão de produto)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sku_id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(13)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Código EAN/GTIN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descricao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(120)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Descrição comercial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categoria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(40)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Categoria mercadológica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curva_abc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caractere (1)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Classificação A, B ou C por giro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comprimento_cm, largura_cm, altura_cm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Dimensões da unidade de venda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peso_kg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Peso bruto unitário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tipo_embalagem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(20)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Unidade, caixa fechada ou palete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giro_medio_dia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Média móvel de 90 dias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exige_cuidado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booleano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Item frágil, controlado ou de alto valor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4 – </w:t>
      </w:r>
      <w:r>
        <w:rPr>
          <w:rFonts w:ascii="Arial" w:hAnsi="Arial"/>
          <w:sz w:val="20"/>
        </w:rPr>
        <w:t>Mapa de endereçamento (dimensão de localização)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endereco_id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(12)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Formato rua-módulo-nível-posição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rua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Corredor de 1 a 42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modulo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Posição longitudinal na rua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nivel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1 a 3: picking; 4 a 7: aéreo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coord_x, coord_y, coord_z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Coordenadas cartesianas (m)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tipo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picking ou aereo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capacidade_un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Capacidade em unidades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sku_alocado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(13)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SKU alocado (chave estrangeira)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5 – </w:t>
      </w:r>
      <w:r>
        <w:rPr>
          <w:rFonts w:ascii="Arial" w:hAnsi="Arial"/>
          <w:sz w:val="20"/>
        </w:rPr>
        <w:t>Histórico de linhas de separação (tabela de fatos transacional)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linha_id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Identificador da linha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pedido_id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Pedido de origem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sku_id, endereco_id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Item e endereço de coleta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quantidade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Quantidade solicitada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data_hora_pedido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Entrada do pedido no sistema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canal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loja ou ecommerce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destino_id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(8)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Loja destino ou CEP do consumidor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onda_id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Onda de separação atribuída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6 – </w:t>
      </w:r>
      <w:r>
        <w:rPr>
          <w:rFonts w:ascii="Arial" w:hAnsi="Arial"/>
          <w:sz w:val="20"/>
        </w:rPr>
        <w:t>Log de tarefas do WMS (tabela de fatos operacional)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tarefa_id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Identificador da tarefa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operador_id, equipamento_id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Executante e equipamento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tipo_tarefa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(20)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separacao, ressuprimento, armazenagem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endereco_origem, endereco_destino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(12)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Início e término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ts_inicio, ts_fim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Marcações do coletor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distancia_percorrida_m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Distância medida ou estimada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(15)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concluida, cancelada, interrompida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7 – </w:t>
      </w:r>
      <w:r>
        <w:rPr>
          <w:rFonts w:ascii="Arial" w:hAnsi="Arial"/>
          <w:sz w:val="20"/>
        </w:rPr>
        <w:t>Cadastro de operadores e equipamentos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operador_id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(8)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Identificador do separador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turno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 (10)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Turno de trabalho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nivel_experiencia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inteiro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Tempo de casa (variável preditora)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equipamento_id, tipo_equipamento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Transpaleteira, empilhadeira, selecionadora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velocidade_media_m_s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Velocidade média de deslocamento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capacidade_kg, capacidade_volume_m3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decimal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Limites físicos por viagem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disponibilidade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booleano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Situação operacional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2.3 Obtenção dos dados, formatos e volumetria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Todos os dados são gerados nativamente pela operação, o que elimina a coleta primária e constitui a principal vantagem econômica da proposta: o insumo já existe e está subutilizado. O mapa de endereçamento, o histórico de linhas e o log de tarefas provêm do WMS; o cadastro de produtos, do ERP; os dados de operadores, do sistema de gestão de pessoas. A captura no armazém já ocorre por coletores de radiofrequência, código de barras e, nos itens de maior valor, etiquetas RFID.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A extração recomendada é uma rotina de ETL noturna, incremental por data de modificação, que carrega um </w:t>
      </w:r>
      <w:r>
        <w:rPr>
          <w:rFonts w:ascii="Arial" w:hAnsi="Arial"/>
          <w:i/>
          <w:sz w:val="24"/>
        </w:rPr>
        <w:t>data warehouse</w:t>
      </w:r>
      <w:r>
        <w:rPr>
          <w:rFonts w:ascii="Arial" w:hAnsi="Arial"/>
          <w:sz w:val="24"/>
        </w:rPr>
        <w:t xml:space="preserve"> dimensional em esquema estrela — com as tabelas de fatos de linhas e de tarefas ao centro e as dimensões de produto, localização, tempo e operador ao redor. O formato CSV atende às cargas iniciais; para o histórico, recomenda-se Parquet particionado por data. A integração pode usar API REST e, no intercâmbio com fornecedores e transportadores, o padrão EDI (</w:t>
      </w:r>
      <w:r>
        <w:rPr>
          <w:rFonts w:ascii="Arial" w:hAnsi="Arial"/>
          <w:i/>
          <w:sz w:val="24"/>
        </w:rPr>
        <w:t>Electronic Data Interchange</w:t>
      </w:r>
      <w:r>
        <w:rPr>
          <w:rFonts w:ascii="Arial" w:hAnsi="Arial"/>
          <w:sz w:val="24"/>
        </w:rPr>
        <w:t>). Em volumetria, o CD gera cerca de 46.000 linhas e 30.000 tarefas por dia — 17 e 11 milhões de registros anuais —, e recomenda-se janela histórica de 24 meses, para capturar dois ciclos sazonais.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 pré-processamento é a etapa mais crítica e a mais subestimada: se os dados de entrada forem ruins, nenhuma técnica de inteligência artificial produzirá resultado confiável. Os tratamentos indispensáveis são a remoção de valores atípicos de tempo de tarefa decorrentes de pausas e incidentes não registrados, por critério de intervalo interquartílico; a imputação de coordenadas ausentes; a reconciliação entre o endereço registrado na tarefa e o vigente na data, uma vez que reendereçamentos corrompem análises retroativas ingênuas; e a normalização de unidades. Essa sequência corresponde às etapas de seleção, pré-processamento e transformação do processo de KDD (</w:t>
      </w:r>
      <w:r>
        <w:rPr>
          <w:rFonts w:ascii="Arial" w:hAnsi="Arial"/>
          <w:i/>
          <w:sz w:val="24"/>
        </w:rPr>
        <w:t>Knowledge Discovery in Databases</w:t>
      </w:r>
      <w:r>
        <w:rPr>
          <w:rFonts w:ascii="Arial" w:hAnsi="Arial"/>
          <w:sz w:val="24"/>
        </w:rPr>
        <w:t>), no qual a mineração e a otimização representam apenas uma fração do esforço.</w:t>
      </w:r>
    </w:p>
    <w:p>
      <w:pPr>
        <w:keepNext/>
        <w:spacing w:before="360" w:after="120"/>
        <w:ind w:firstLine="0"/>
        <w:jc w:val="left"/>
      </w:pPr>
      <w:r>
        <w:rPr>
          <w:rFonts w:ascii="Arial" w:hAnsi="Arial"/>
          <w:b/>
          <w:sz w:val="24"/>
        </w:rPr>
        <w:t>3 MÉTODOS DE INTELIGÊNCIA ARTIFICIAL PROPOSTOS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Propõem-se duas abordagens complementares, ambas apoiadas em técnicas consolidadas de busca e aprendizado (NORVIG, 2013). A primeira, estritamente prescritiva, atua no ciclo operacional e responde a “dada a configuração atual do armazém, qual é a melhor forma de executar a separação de hoje?”. A segunda, preditiva e prescritiva, atua no ciclo tático e responde a uma pergunta anterior: “qual deveria ser a configuração do armazém para que a separação de amanhã já nasça mais curta?”.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3.1 Abordagem A — meta-heurísticas bioinspiradas para lotes e roteirização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 w:val="0"/>
          <w:sz w:val="24"/>
        </w:rPr>
        <w:t>3.1.1 Justificativa da escolha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As heurísticas construtivas clássicas de roteirização — </w:t>
      </w:r>
      <w:r>
        <w:rPr>
          <w:rFonts w:ascii="Arial" w:hAnsi="Arial"/>
          <w:i/>
          <w:sz w:val="24"/>
        </w:rPr>
        <w:t>S-shape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return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midpoint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largest gap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combined</w:t>
      </w:r>
      <w:r>
        <w:rPr>
          <w:rFonts w:ascii="Arial" w:hAnsi="Arial"/>
          <w:sz w:val="24"/>
        </w:rPr>
        <w:t xml:space="preserve"> — têm custo computacional desprezível e são adequadas a layouts de bloco único com armazenagem aleatória, mas degradam em armazéns com múltiplos corredores transversais e armazenagem orientada por classe, em que a distância obtida pode superar consideravelmente a da solução ótima. Com 42 ruas e endereçamento por categoria mercadológica, o CD analisado situa-se justamente nessa faixa.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As meta-heurísticas, ao contrário, exploram o espaço de soluções sem enumerá-lo. A otimização por colônia de formigas (ACO), formalizada por Dorigo e Stützle (2004), é particularmente adequada por três razões: constrói soluções de forma incremental, permitindo interromper a busca a qualquer momento e ainda dispor de rota válida; mantém memória adaptativa na forma de trilhas de feromônio, de modo que a qualidade melhora ao longo de execuções sucessivas sobre o mesmo layout; e reage bem a alterações em tempo real, pois a estrutura de feromônio acumulada dispensa a reotimização a partir do zero.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Essa adequação é respaldada pela literatura: De Santis </w:t>
      </w:r>
      <w:r>
        <w:rPr>
          <w:rFonts w:ascii="Arial" w:hAnsi="Arial"/>
          <w:i/>
          <w:sz w:val="24"/>
        </w:rPr>
        <w:t>et al.</w:t>
      </w:r>
      <w:r>
        <w:rPr>
          <w:rFonts w:ascii="Arial" w:hAnsi="Arial"/>
          <w:sz w:val="24"/>
        </w:rPr>
        <w:t xml:space="preserve"> (2018) propuseram o algoritmo FW-ACO, que combina Floyd–Warshall com colônia de formigas para minimizar a distância percorrida em armazéns manuais, obtendo desempenho superior ao das heurísticas tradicionais, e trabalhos posteriores estenderam a formulação para múltiplos separadores com consideração explícita do congestionamento. O algoritmo genético (AG), por sua vez, atua na formação de lotes, para a qual sua representação por cromossomos de atribuição é naturalmente adequada.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 w:val="0"/>
          <w:sz w:val="24"/>
        </w:rPr>
        <w:t>3.1.2 Proposta metodológica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Etapas 1 e 2 — Grafo, matriz de distâncias e formação de lotes.</w:t>
      </w:r>
      <w:r>
        <w:rPr>
          <w:rFonts w:ascii="Arial" w:hAnsi="Arial"/>
          <w:sz w:val="24"/>
        </w:rPr>
        <w:t xml:space="preserve"> O armazém é representado como grafo não direcionado G(V, E), em que V reúne os endereços de </w:t>
      </w:r>
      <w:r>
        <w:rPr>
          <w:rFonts w:ascii="Arial" w:hAnsi="Arial"/>
          <w:i/>
          <w:sz w:val="24"/>
        </w:rPr>
        <w:t>picking</w:t>
      </w:r>
      <w:r>
        <w:rPr>
          <w:rFonts w:ascii="Arial" w:hAnsi="Arial"/>
          <w:sz w:val="24"/>
        </w:rPr>
        <w:t xml:space="preserve"> ativos e a doca, e E os trechos de corredor ponderados pela distância real. Aplica-se Floyd–Warshall para obter a distância mínima entre todos os pares de vértices; por ter complexidade O(n³), o cálculo roda fora de linha e é refeito apenas quando layout ou endereçamento mudam. Sobre essa matriz, um algoritmo genético resolve a formação de lotes: o cromossomo é um vetor de inteiros em que a posição i indica o lote atribuído ao pedido i, e a função de aptidão soma a distância total estimada às penalidades por violação de capacidade e por descumprimento da janela de corte. Empregam-se seleção por torneio, </w:t>
      </w:r>
      <w:r>
        <w:rPr>
          <w:rFonts w:ascii="Arial" w:hAnsi="Arial"/>
          <w:i/>
          <w:sz w:val="24"/>
        </w:rPr>
        <w:t>crossover</w:t>
      </w:r>
      <w:r>
        <w:rPr>
          <w:rFonts w:ascii="Arial" w:hAnsi="Arial"/>
          <w:sz w:val="24"/>
        </w:rPr>
        <w:t xml:space="preserve"> uniforme, mutação por realocação de pedido e elitismo.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Etapa 3 — Roteirização por colônia de formigas.</w:t>
      </w:r>
      <w:r>
        <w:rPr>
          <w:rFonts w:ascii="Arial" w:hAnsi="Arial"/>
          <w:sz w:val="24"/>
        </w:rPr>
        <w:t xml:space="preserve"> Para cada lote, m formigas artificiais constroem rotas escolhendo o próximo endereço com probabilidade proporcional ao produto τ^α · η^β, em que τ é a intensidade de feromônio na aresta, η é o inverso da distância e os expoentes α e β ponderam memória coletiva e visibilidade local. A cada iteração o feromônio evapora à taxa ρ e é reforçado nas arestas das melhores rotas.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Etapas 4 e 5 — Congestionamento e reotimização.</w:t>
      </w:r>
      <w:r>
        <w:rPr>
          <w:rFonts w:ascii="Arial" w:hAnsi="Arial"/>
          <w:sz w:val="24"/>
        </w:rPr>
        <w:t xml:space="preserve"> A ocupação prevista de cada trecho é estimada a partir das tarefas já designadas para a mesma janela de tempo; trechos acima de um limiar recebem penalização dinâmica no feromônio, dispersando os separadores por corredores distintos. A cada evento relevante — pedido urgente, cancelamento, indisponibilidade de equipamento — dispara-se nova execução a partir da matriz de feromônio corrente, garantindo resposta em segundos; ao final da onda, as distâncias reais medidas pelos coletores realimentam a recalibração de α, β e ρ.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3.2 Abordagem B — aprendizado de máquina e endereçamento dinâmico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 w:val="0"/>
          <w:sz w:val="24"/>
        </w:rPr>
        <w:t>3.2.1 Justificativa da escolha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Enquanto a Abordagem A otimiza a rota dado um endereçamento, a Abordagem B ataca a causa a montante. Se os itens de maior giro estiverem próximos à doca e os frequentemente pedidos em conjunto estiverem próximos entre si, a rota já nasce curta, e o ganho passa a ser estrutural e permanente, independentemente da qualidade do roteirizador. Trata-se de resolver o SLAP, e não o PRP.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 elo entre previsão e endereçamento é direto: a posição ótima de um SKU depende do seu giro futuro, não do passado. Um item de curva C durante onze meses pode ser de curva A na semana que antecede uma data comemorativa, e a classificação ABC anual praticada hoje no CD é incapaz de acompanhar esse fenômeno.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A escolha dos métodos de previsão precisa considerar a heterogeneidade do catálogo: os 22.000 SKUs não se comportam da mesma forma — alguns têm demanda regular, outros são intermitentes, com longos períodos de demanda nula —, e aplicar um único método a todos é erro recorrente e causa frequente de baixa acurácia. Syntetos e Boylan (2005) propõem classificar as séries por duas métricas: o ADI (</w:t>
      </w:r>
      <w:r>
        <w:rPr>
          <w:rFonts w:ascii="Arial" w:hAnsi="Arial"/>
          <w:i/>
          <w:sz w:val="24"/>
        </w:rPr>
        <w:t>Average Inter-Demand Interval</w:t>
      </w:r>
      <w:r>
        <w:rPr>
          <w:rFonts w:ascii="Arial" w:hAnsi="Arial"/>
          <w:sz w:val="24"/>
        </w:rPr>
        <w:t xml:space="preserve">), medida de intermitência, e o CV² (coeficiente de variação ao quadrado das demandas não nulas), medida da variabilidade do tamanho. Disso resultam quatro categorias — </w:t>
      </w:r>
      <w:r>
        <w:rPr>
          <w:rFonts w:ascii="Arial" w:hAnsi="Arial"/>
          <w:i/>
          <w:sz w:val="24"/>
        </w:rPr>
        <w:t>smooth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erratic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lumpy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slow-moving</w:t>
      </w:r>
      <w:r>
        <w:rPr>
          <w:rFonts w:ascii="Arial" w:hAnsi="Arial"/>
          <w:sz w:val="24"/>
        </w:rPr>
        <w:t xml:space="preserve"> —, cada uma com método de previsão recomendado.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 w:val="0"/>
          <w:sz w:val="24"/>
        </w:rPr>
        <w:t>3.2.2 Proposta metodológica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Etapas 1 e 2 — Classificação do padrão de demanda e previsão.</w:t>
      </w:r>
      <w:r>
        <w:rPr>
          <w:rFonts w:ascii="Arial" w:hAnsi="Arial"/>
          <w:sz w:val="24"/>
        </w:rPr>
        <w:t xml:space="preserve"> Calculam-se ADI e CV² de cada SKU sobre a janela de 24 meses, segmentando o catálogo nos quatro quadrantes — etapa de baixo custo que, isoladamente, já revela quais itens são inerentemente imprevisíveis e exigem estoque de segurança em vez de previsão refinada. Às séries </w:t>
      </w:r>
      <w:r>
        <w:rPr>
          <w:rFonts w:ascii="Arial" w:hAnsi="Arial"/>
          <w:i/>
          <w:sz w:val="24"/>
        </w:rPr>
        <w:t>smooth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erratic</w:t>
      </w:r>
      <w:r>
        <w:rPr>
          <w:rFonts w:ascii="Arial" w:hAnsi="Arial"/>
          <w:sz w:val="24"/>
        </w:rPr>
        <w:t xml:space="preserve"> aplicam-se o alisamento exponencial com correção de tendência e sazonalidade (métodos de Holt e de Winter) ou modelos ARIMA e SARIMA (MORETTIN, 2018); às séries </w:t>
      </w:r>
      <w:r>
        <w:rPr>
          <w:rFonts w:ascii="Arial" w:hAnsi="Arial"/>
          <w:i/>
          <w:sz w:val="24"/>
        </w:rPr>
        <w:t>lumpy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slow-moving</w:t>
      </w:r>
      <w:r>
        <w:rPr>
          <w:rFonts w:ascii="Arial" w:hAnsi="Arial"/>
          <w:sz w:val="24"/>
        </w:rPr>
        <w:t>, o método de Croston (1972) e sua variante SBA, que corrigem o viés que o alisamento exponencial produz em séries com muitos valores nulos. A escolha final é feita por erro acumulado em janela de validação, e não por preferência a priori.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Etapa 3 — Curva ABC dinâmica e afinidade entre itens.</w:t>
      </w:r>
      <w:r>
        <w:rPr>
          <w:rFonts w:ascii="Arial" w:hAnsi="Arial"/>
          <w:sz w:val="24"/>
        </w:rPr>
        <w:t xml:space="preserve"> A classificação ABC é recalculada a cada período de sazonalidade com base na demanda </w:t>
      </w:r>
      <w:r>
        <w:rPr>
          <w:rFonts w:ascii="Arial" w:hAnsi="Arial"/>
          <w:b/>
          <w:sz w:val="24"/>
        </w:rPr>
        <w:t>prevista</w:t>
      </w:r>
      <w:r>
        <w:rPr>
          <w:rFonts w:ascii="Arial" w:hAnsi="Arial"/>
          <w:sz w:val="24"/>
        </w:rPr>
        <w:t>, e não na realizada. Em paralelo, aplica-se mineração de regras de associação por FP-Growth sobre o histórico de pedidos, identificando SKUs frequentemente separados na mesma viagem, e agrupamento por k-médias sobre giro previsto, volume, peso e frequência de coocorrência, formando famílias de armazenagem.</w:t>
      </w:r>
    </w:p>
    <w:p>
      <w:pPr>
        <w:spacing w:after="120"/>
        <w:ind w:firstLine="709"/>
      </w:pPr>
      <w:r>
        <w:rPr>
          <w:rFonts w:ascii="Arial" w:hAnsi="Arial"/>
          <w:b/>
          <w:sz w:val="24"/>
        </w:rPr>
        <w:t>Etapas 4 e 5 — Realocação de endereços e predição do tempo de tarefa.</w:t>
      </w:r>
      <w:r>
        <w:rPr>
          <w:rFonts w:ascii="Arial" w:hAnsi="Arial"/>
          <w:sz w:val="24"/>
        </w:rPr>
        <w:t xml:space="preserve"> O reendereçamento é formulado como problema de designação e resolvido por programação linear inteira (STEIN </w:t>
      </w:r>
      <w:r>
        <w:rPr>
          <w:rFonts w:ascii="Arial" w:hAnsi="Arial"/>
          <w:i/>
          <w:sz w:val="24"/>
        </w:rPr>
        <w:t>et al.</w:t>
      </w:r>
      <w:r>
        <w:rPr>
          <w:rFonts w:ascii="Arial" w:hAnsi="Arial"/>
          <w:sz w:val="24"/>
        </w:rPr>
        <w:t>, 2018), minimizando a soma das distâncias esperadas — distância à doca ponderada pela demanda prevista do SKU alocado —, sujeito a capacidade volumétrica, limite de peso por nível, compatibilidade de manuseio, proximidade das famílias e um teto de realocações por ciclo, que garante que o ganho supere o custo físico da movimentação. Por fim, um modelo de regressão (</w:t>
      </w:r>
      <w:r>
        <w:rPr>
          <w:rFonts w:ascii="Arial" w:hAnsi="Arial"/>
          <w:i/>
          <w:sz w:val="24"/>
        </w:rPr>
        <w:t>Random Forest</w:t>
      </w:r>
      <w:r>
        <w:rPr>
          <w:rFonts w:ascii="Arial" w:hAnsi="Arial"/>
          <w:sz w:val="24"/>
        </w:rPr>
        <w:t xml:space="preserve"> ou </w:t>
      </w:r>
      <w:r>
        <w:rPr>
          <w:rFonts w:ascii="Arial" w:hAnsi="Arial"/>
          <w:i/>
          <w:sz w:val="24"/>
        </w:rPr>
        <w:t>Gradient Boosting</w:t>
      </w:r>
      <w:r>
        <w:rPr>
          <w:rFonts w:ascii="Arial" w:hAnsi="Arial"/>
          <w:sz w:val="24"/>
        </w:rPr>
        <w:t>) treinado sobre o log de tarefas prevê o tempo de execução a partir da distância, do número de linhas, do equipamento, da experiência do operador e da ocupação do corredor, alimentando o dimensionamento da equipe por onda.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3.3 Comparação e integração das abordagens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O Quadro 8 confronta as duas abordagens segundo critérios relevantes para a decisão de implantação. A comparação não visa eleger uma vencedora: elas atacam subproblemas diferentes e operam em horizontes distintos.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8 – </w:t>
      </w:r>
      <w:r>
        <w:rPr>
          <w:rFonts w:ascii="Arial" w:hAnsi="Arial"/>
          <w:sz w:val="20"/>
        </w:rPr>
        <w:t>Comparação entre as abordagens propostas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Critério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Abordagem A (AG + ACO)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Abordagem B (aprendizado de máquina)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Subproblema atacado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OBP e PRP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SLAP e designação de tarefas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Natureza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Prescritiva (otimização)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Preditiva e prescritiva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Técnicas principais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Algoritmo genético, colônia de formigas, Floyd–Warshall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Croston/SBA, Holt-Winters, ARIMA, k-médias, FP-Growth, programação inteira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Horizonte de decisão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Operacional (por onda, segundos)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Tático (sazonal, horas)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Dados exigidos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Endereçamento, pedidos da onda, equipamentos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Histórico de 24 meses de linhas e tarefas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Ganho esperado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Imediato e reversível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Estrutural e permanente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Complexidade de implantação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Média (integração em tempo real com o WMS)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Alta (governança de dados e movimentação física de estoque)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Interpretabilidade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Baixa (entrega a rota, não a explicação)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Média a alta (curva ABC e regras de associação são auditáveis)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keepNext/>
        <w:spacing w:line="240" w:lineRule="auto" w:before="240" w:after="60"/>
        <w:ind w:firstLine="0"/>
        <w:jc w:val="center"/>
      </w:pPr>
      <w:r>
        <w:rPr>
          <w:rFonts w:ascii="Arial" w:hAnsi="Arial"/>
          <w:b/>
          <w:sz w:val="20"/>
        </w:rPr>
        <w:t xml:space="preserve">Figura 2 – </w:t>
      </w:r>
      <w:r>
        <w:rPr>
          <w:rFonts w:ascii="Arial" w:hAnsi="Arial"/>
          <w:sz w:val="20"/>
        </w:rPr>
        <w:t>Framework integrado das abordagens propostas</w:t>
      </w:r>
    </w:p>
    <w:p>
      <w:pPr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24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240"/>
        <w:ind w:firstLine="0"/>
        <w:jc w:val="center"/>
      </w:pPr>
      <w:r>
        <w:rPr>
          <w:rFonts w:ascii="Arial" w:hAnsi="Arial"/>
          <w:sz w:val="18"/>
        </w:rPr>
        <w:t>Fonte: o autor (2026).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Como mostra a Figura 2, as abordagens operam em frequências distintas e se alimentam mutuamente. A Abordagem B entrega um mapa de endereçamento atualizado, que passa a ser o insumo da matriz de distâncias consumida pela Abordagem A, executada a cada onda. Os resultados reais realimentam ambas: tempos e distâncias efetivos recalibram os parâmetros do ACO e do AG, enquanto a demanda realizada alimenta a próxima rodada de previsão. É um ciclo fechado de melhoria contínua, não um projeto com data de encerramento.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Essa arquitetura sustenta-se sobre o processo de KDD: a seleção e o pré-processamento descritos na Seção 2.3 antecedem qualquer técnica; a mineração e a otimização correspondem às etapas de cada abordagem; e a interpretação dos resultados e sua conversão em decisão gerencial — objeto da Seção 4 — constituem a etapa final, sem a qual o esforço anterior permanece exercício técnico sem consequência para o negócio.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3.4 Extensão futura: aprendizado por reforço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Registra-se, como evolução natural, a possibilidade de tratar a designação dinâmica de tarefas por aprendizado por reforço, usando um simulador de eventos discretos do CD como ambiente e um agente que aprende, por tentativa e erro simulados, a política que minimiza espera e congestionamento. A vantagem é antecipar consequências de longo prazo que regras míopes não capturam; a desvantagem é exigir simulador fiel e maturidade analítica ainda inexistente na empresa, razão pela qual se recomenda posicioná-la como terceira onda de evolução.</w:t>
      </w:r>
    </w:p>
    <w:p>
      <w:pPr>
        <w:keepNext/>
        <w:spacing w:before="360" w:after="120"/>
        <w:ind w:firstLine="0"/>
        <w:jc w:val="left"/>
      </w:pPr>
      <w:r>
        <w:rPr>
          <w:rFonts w:ascii="Arial" w:hAnsi="Arial"/>
          <w:b/>
          <w:sz w:val="24"/>
        </w:rPr>
        <w:t>4 RESULTADOS ESPERADOS E ANÁLISE DE IMPACTO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4.1 Indicadores de desempenho propostos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A definição dos indicadores precede a implantação e é parte dela: não se trata apenas de medir o resultado ao final, mas de estabelecer a linha de base contra a qual o ganho será aferido — sem ela, qualquer discussão sobre a eficácia do modelo se reduz a opinião. O Quadro 9 apresenta os indicadores propostos, com valores atuais e metas estimadas.</w:t>
      </w:r>
    </w:p>
    <w:p>
      <w:pPr>
        <w:keepNext/>
        <w:spacing w:line="240" w:lineRule="auto" w:before="240" w:after="60"/>
        <w:ind w:firstLine="0"/>
        <w:jc w:val="left"/>
      </w:pPr>
      <w:r>
        <w:rPr>
          <w:rFonts w:ascii="Arial" w:hAnsi="Arial"/>
          <w:b/>
          <w:sz w:val="20"/>
        </w:rPr>
        <w:t xml:space="preserve">Quadro 9 – </w:t>
      </w:r>
      <w:r>
        <w:rPr>
          <w:rFonts w:ascii="Arial" w:hAnsi="Arial"/>
          <w:sz w:val="20"/>
        </w:rPr>
        <w:t>Indicadores de desempenho: linha de base e metas esperadas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Indicador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Unidade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Base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Meta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8"/>
              </w:rPr>
              <w:t>Variação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Distância média percorrida por pedido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m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780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560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−28%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Linhas separadas por hora por operador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linhas/h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+26%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Tempo de ciclo do pedido (entrada até expedição)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min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−29%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Tempo improdutivo por congestionamento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% da jornada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11,0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5,0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−55%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Acuracidade de separação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99,2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99,6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+0,4 p.p.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Custo operacional por linha separada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R$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0,84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0,63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−25%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Pedidos concluídos dentro da janela de corte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+6 p.p.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 w:val="0"/>
                <w:sz w:val="18"/>
              </w:rPr>
              <w:t>Ruptura em loja por falha de abastecimento do CD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3,8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2,1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 w:val="0"/>
                <w:sz w:val="18"/>
              </w:rPr>
              <w:t>−45%</w:t>
            </w:r>
          </w:p>
        </w:tc>
      </w:tr>
    </w:tbl>
    <w:p>
      <w:pPr>
        <w:keepNext w:val="0"/>
        <w:spacing w:line="240" w:lineRule="auto" w:before="60" w:after="240"/>
        <w:ind w:firstLine="0"/>
        <w:jc w:val="left"/>
      </w:pPr>
      <w:r>
        <w:rPr>
          <w:rFonts w:ascii="Arial" w:hAnsi="Arial"/>
          <w:sz w:val="18"/>
        </w:rPr>
        <w:t>Fonte: o autor (2026).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Aplicada ao volume do CD, uma redução de 25% no custo por linha representa, sobre 46.000 linhas diárias, economia da ordem de R$ 9,7 mil por dia, ou cerca de R$ 2,9 milhões por ano considerados 300 dias úteis — magnitude suficiente para justificar o investimento em capacitação analítica e integração de sistemas, ainda que nenhum equipamento novo seja adquirido.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4.2 Influência dos indicadores na decisão gerencial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A leitura conjunta desses indicadores altera a natureza das decisões disponíveis ao gestor. A mais relevante é </w:t>
      </w:r>
      <w:r>
        <w:rPr>
          <w:rFonts w:ascii="Arial" w:hAnsi="Arial"/>
          <w:b/>
          <w:sz w:val="24"/>
        </w:rPr>
        <w:t>a escolha entre mudar o processo e investir em automação</w:t>
      </w:r>
      <w:r>
        <w:rPr>
          <w:rFonts w:ascii="Arial" w:hAnsi="Arial"/>
          <w:sz w:val="24"/>
        </w:rPr>
        <w:t>: é prática comum responder a um aumento de demanda comprando equipamentos ou ampliando o armazém, mas se a distância percorrida cai 28% apenas com reendereçamento e roteirização inteligentes, a mesma estrutura física absorve volume substancialmente maior e o investimento em imobilizado pode ser adiado. É decisão de elevado impacto financeiro, possível apenas quando o ganho potencial da otimização está previamente quantificado.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Seguem-se outras três. </w:t>
      </w:r>
      <w:r>
        <w:rPr>
          <w:rFonts w:ascii="Arial" w:hAnsi="Arial"/>
          <w:b/>
          <w:sz w:val="24"/>
        </w:rPr>
        <w:t>O dimensionamento da equipe por onda</w:t>
      </w:r>
      <w:r>
        <w:rPr>
          <w:rFonts w:ascii="Arial" w:hAnsi="Arial"/>
          <w:sz w:val="24"/>
        </w:rPr>
        <w:t xml:space="preserve"> deixa de basear-se na média histórica e passa a apoiar-se na carga prevista pelo modelo de tempo de tarefa, reduzindo ociosidade nos vales e hora extra nos picos. </w:t>
      </w:r>
      <w:r>
        <w:rPr>
          <w:rFonts w:ascii="Arial" w:hAnsi="Arial"/>
          <w:b/>
          <w:sz w:val="24"/>
        </w:rPr>
        <w:t>A renegociação da janela de corte</w:t>
      </w:r>
      <w:r>
        <w:rPr>
          <w:rFonts w:ascii="Arial" w:hAnsi="Arial"/>
          <w:sz w:val="24"/>
        </w:rPr>
        <w:t xml:space="preserve"> torna-se viável quando o tempo de ciclo cai de 41 para 29 minutos: o horário-limite para pedidos das lojas pode ser postergado sem comprometer a partida do veículo, e pedidos emitidos mais tarde incorporam mais informação de venda do dia, reduzindo a ruptura por caminho independente do da otimização física. Por fim, </w:t>
      </w:r>
      <w:r>
        <w:rPr>
          <w:rFonts w:ascii="Arial" w:hAnsi="Arial"/>
          <w:b/>
          <w:sz w:val="24"/>
        </w:rPr>
        <w:t>o acompanhamento da acurácia da previsão</w:t>
      </w:r>
      <w:r>
        <w:rPr>
          <w:rFonts w:ascii="Arial" w:hAnsi="Arial"/>
          <w:sz w:val="24"/>
        </w:rPr>
        <w:t>, com registro do previsto contra o realizado período a período, é a única forma de arbitrar objetivamente a disputa entre a recomendação do modelo e o julgamento experiente do gestor — sem ele, a discussão tende a ser decidida pela hierarquia, e não pela evidência.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4.3 Riscos e barreiras à implantação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A proposta enfrenta quatro riscos, todos com mitigação conhecida. O primeiro é a </w:t>
      </w:r>
      <w:r>
        <w:rPr>
          <w:rFonts w:ascii="Arial" w:hAnsi="Arial"/>
          <w:b/>
          <w:sz w:val="24"/>
        </w:rPr>
        <w:t>qualidade dos dados</w:t>
      </w:r>
      <w:r>
        <w:rPr>
          <w:rFonts w:ascii="Arial" w:hAnsi="Arial"/>
          <w:sz w:val="24"/>
        </w:rPr>
        <w:t xml:space="preserve">: marcações de tempo imprecisas ou endereçamento desatualizado inviabilizam a medição da linha de base e o treinamento dos modelos, o que exige auditoria prévia. O segundo é a </w:t>
      </w:r>
      <w:r>
        <w:rPr>
          <w:rFonts w:ascii="Arial" w:hAnsi="Arial"/>
          <w:b/>
          <w:sz w:val="24"/>
        </w:rPr>
        <w:t>resistência organizacional</w:t>
      </w:r>
      <w:r>
        <w:rPr>
          <w:rFonts w:ascii="Arial" w:hAnsi="Arial"/>
          <w:sz w:val="24"/>
        </w:rPr>
        <w:t xml:space="preserve">: profissionais experientes tendem a confiar no conhecimento tácito em detrimento de uma recomendação que não explica suas razões, e a mitigação mais eficaz é o teste comparativo por onda — metade roteirizada pelo modelo, metade pela regra vigente. O terceiro é o </w:t>
      </w:r>
      <w:r>
        <w:rPr>
          <w:rFonts w:ascii="Arial" w:hAnsi="Arial"/>
          <w:b/>
          <w:sz w:val="24"/>
        </w:rPr>
        <w:t>custo físico do reendereçamento</w:t>
      </w:r>
      <w:r>
        <w:rPr>
          <w:rFonts w:ascii="Arial" w:hAnsi="Arial"/>
          <w:sz w:val="24"/>
        </w:rPr>
        <w:t xml:space="preserve">, contido pelo limite de movimentações por ciclo. O quarto é a </w:t>
      </w:r>
      <w:r>
        <w:rPr>
          <w:rFonts w:ascii="Arial" w:hAnsi="Arial"/>
          <w:b/>
          <w:sz w:val="24"/>
        </w:rPr>
        <w:t>dependência de calibração</w:t>
      </w:r>
      <w:r>
        <w:rPr>
          <w:rFonts w:ascii="Arial" w:hAnsi="Arial"/>
          <w:sz w:val="24"/>
        </w:rPr>
        <w:t xml:space="preserve"> dos parâmetros do ACO e do AG.</w:t>
      </w:r>
    </w:p>
    <w:p>
      <w:pPr>
        <w:keepNext/>
        <w:spacing w:before="240" w:after="120"/>
        <w:ind w:firstLine="0"/>
        <w:jc w:val="left"/>
      </w:pPr>
      <w:r>
        <w:rPr>
          <w:rFonts w:ascii="Arial" w:hAnsi="Arial"/>
          <w:b/>
          <w:sz w:val="24"/>
        </w:rPr>
        <w:t>4.4 Exemplo de aplicação real: Amazon Robotics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Um exemplo documentado de aplicação de técnicas correlatas em escala industrial é o caso da Amazon, publicado por Allgor, Çezik e Chen (2023) no </w:t>
      </w:r>
      <w:r>
        <w:rPr>
          <w:rFonts w:ascii="Arial" w:hAnsi="Arial"/>
          <w:i/>
          <w:sz w:val="24"/>
        </w:rPr>
        <w:t>INFORMS Journal on Applied Analytics</w:t>
      </w:r>
      <w:r>
        <w:rPr>
          <w:rFonts w:ascii="Arial" w:hAnsi="Arial"/>
          <w:sz w:val="24"/>
        </w:rPr>
        <w:t>. Os autores, pesquisadores da própria empresa, descrevem o redesenho do algoritmo de separação dos centros de distribuição robotizados da companhia.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Nesses armazéns, o modelo tradicional é invertido: em vez de o operador se deslocar até a mercadoria, prateleiras móveis chamadas </w:t>
      </w:r>
      <w:r>
        <w:rPr>
          <w:rFonts w:ascii="Arial" w:hAnsi="Arial"/>
          <w:i/>
          <w:sz w:val="24"/>
        </w:rPr>
        <w:t>pods</w:t>
      </w:r>
      <w:r>
        <w:rPr>
          <w:rFonts w:ascii="Arial" w:hAnsi="Arial"/>
          <w:sz w:val="24"/>
        </w:rPr>
        <w:t xml:space="preserve"> são transportadas por robôs autônomos até estações fixas, nas quais os separadores permanecem parados. A decisão crítica passa a ser outra: dado um conjunto de pedidos, quais unidades retirar de quais </w:t>
      </w:r>
      <w:r>
        <w:rPr>
          <w:rFonts w:ascii="Arial" w:hAnsi="Arial"/>
          <w:i/>
          <w:sz w:val="24"/>
        </w:rPr>
        <w:t>pods</w:t>
      </w:r>
      <w:r>
        <w:rPr>
          <w:rFonts w:ascii="Arial" w:hAnsi="Arial"/>
          <w:sz w:val="24"/>
        </w:rPr>
        <w:t xml:space="preserve"> e em que sequência trazê-los às estações. Como um mesmo SKU está replicado em dezenas de </w:t>
      </w:r>
      <w:r>
        <w:rPr>
          <w:rFonts w:ascii="Arial" w:hAnsi="Arial"/>
          <w:i/>
          <w:sz w:val="24"/>
        </w:rPr>
        <w:t>pods</w:t>
      </w:r>
      <w:r>
        <w:rPr>
          <w:rFonts w:ascii="Arial" w:hAnsi="Arial"/>
          <w:sz w:val="24"/>
        </w:rPr>
        <w:t xml:space="preserve"> e cada </w:t>
      </w:r>
      <w:r>
        <w:rPr>
          <w:rFonts w:ascii="Arial" w:hAnsi="Arial"/>
          <w:i/>
          <w:sz w:val="24"/>
        </w:rPr>
        <w:t>pod</w:t>
      </w:r>
      <w:r>
        <w:rPr>
          <w:rFonts w:ascii="Arial" w:hAnsi="Arial"/>
          <w:sz w:val="24"/>
        </w:rPr>
        <w:t xml:space="preserve"> contém dezenas de SKUs, o número de combinações é imenso e a escolha determina quantas viagens de robô serão necessárias.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O algoritmo anterior tratava a decisão de forma míope, otimizando pedido a pedido. A reformulação passou a considerar o conjunto de pedidos simultaneamente, maximizando o número de unidades aproveitadas por viagem de </w:t>
      </w:r>
      <w:r>
        <w:rPr>
          <w:rFonts w:ascii="Arial" w:hAnsi="Arial"/>
          <w:i/>
          <w:sz w:val="24"/>
        </w:rPr>
        <w:t>pod</w:t>
      </w:r>
      <w:r>
        <w:rPr>
          <w:rFonts w:ascii="Arial" w:hAnsi="Arial"/>
          <w:sz w:val="24"/>
        </w:rPr>
        <w:t xml:space="preserve"> — ou seja, converteu um problema local em um problema de designação global. É a mesma mudança de perspectiva que a Abordagem B propõe ao acoplar o endereçamento à formação de lotes.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 xml:space="preserve">Os resultados são expressivos: a distância percorrida pelos </w:t>
      </w:r>
      <w:r>
        <w:rPr>
          <w:rFonts w:ascii="Arial" w:hAnsi="Arial"/>
          <w:i/>
          <w:sz w:val="24"/>
        </w:rPr>
        <w:t>pods</w:t>
      </w:r>
      <w:r>
        <w:rPr>
          <w:rFonts w:ascii="Arial" w:hAnsi="Arial"/>
          <w:sz w:val="24"/>
        </w:rPr>
        <w:t xml:space="preserve"> caiu 62%, sem impacto operacional negativo; a frota de robôs foi reduzida em 31%, com economia direta estimada em cerca de meio bilhão de dólares; e os centros robotizados passaram a operar com área de armazenagem 29% menor que a dos equivalentes não robotizados. O algoritmo foi implantado em todos os centros robotizados da empresa.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Dois aspectos merecem destaque por sua transferibilidade. O primeiro é que o ganho não decorreu da automação física em si — os robôs já estavam instalados —, mas da decisão algorítmica sobre como utilizá-los, o que reforça o argumento da Seção 4.2: antes de investir em equipamento, convém avaliar quanto ainda pode ser extraído do ativo existente. O segundo é o caráter colaborativo: o algoritmo não substituiu o trabalho humano, mas reorganizou-o para eliminar o deslocamento improdutivo, elevando a produtividade sem intensificar o esforço do separador — o que endereça a barreira de resistência discutida na Seção 4.3. O artigo está disponível em https://pubsonline.informs.org/doi/10.1287/inte.2022.1143 (DOI: 10.1287/inte.2022.1143).</w:t>
      </w:r>
    </w:p>
    <w:p>
      <w:pPr>
        <w:keepNext/>
        <w:spacing w:before="360" w:after="120"/>
        <w:ind w:firstLine="0"/>
        <w:jc w:val="left"/>
      </w:pPr>
      <w:r>
        <w:rPr>
          <w:rFonts w:ascii="Arial" w:hAnsi="Arial"/>
          <w:b/>
          <w:sz w:val="24"/>
        </w:rPr>
        <w:t>5 CONSIDERAÇÕES FINAIS</w:t>
      </w:r>
    </w:p>
    <w:p>
      <w:pPr>
        <w:spacing w:after="120"/>
        <w:ind w:firstLine="709"/>
      </w:pPr>
      <w:r>
        <w:rPr>
          <w:rFonts w:ascii="Arial" w:hAnsi="Arial"/>
          <w:sz w:val="24"/>
        </w:rPr>
        <w:t>Este relatório propôs a aplicação de inteligência artificial à otimização da separação de pedidos em centros de distribuição, decompondo o problema em quatro subproblemas acoplados, especificando as estruturas de dados necessárias e apresentando duas abordagens complementares: meta-heurísticas bioinspiradas para o ciclo operacional e aprendizado de máquina com endereçamento dinâmico para o ciclo tático. Duas conclusões merecem registro. A primeira é que o insumo necessário já existe — os dados são gerados nativamente pela operação e estão subutilizados —, o que desloca a barreira de implantação do campo tecnológico para o da governança de dados. A segunda é que a escolha da técnica deve derivar das características do problema, e não do prestígio do método: aplicar uma rede neural a uma série intermitente, ou uma heurística de bloco único a um armazém de 42 ruas, produz resultado inferior ao de alternativas mais simples e adequadas.</w:t>
      </w:r>
    </w:p>
    <w:p>
      <w:pPr>
        <w:keepNext/>
        <w:spacing w:before="360" w:after="120"/>
        <w:ind w:firstLine="0"/>
        <w:jc w:val="left"/>
      </w:pPr>
      <w:r>
        <w:rPr>
          <w:rFonts w:ascii="Arial" w:hAnsi="Arial"/>
          <w:b/>
          <w:sz w:val="24"/>
        </w:rPr>
        <w:t>REFERÊNCIAS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ALLGOR, R. J.; ÇEZIK, T.; CHEN, D. Algorithm for robotic picking in Amazon fulfillment centers enables humans and robots to work together effectively. </w:t>
      </w:r>
      <w:r>
        <w:rPr>
          <w:rFonts w:ascii="Arial" w:hAnsi="Arial"/>
          <w:b/>
          <w:sz w:val="24"/>
        </w:rPr>
        <w:t>INFORMS Journal on Applied Analytics</w:t>
      </w:r>
      <w:r>
        <w:rPr>
          <w:rFonts w:ascii="Arial" w:hAnsi="Arial"/>
          <w:sz w:val="24"/>
        </w:rPr>
        <w:t>, v. 53, n. 4, p. 266-282, 2023. DOI: 10.1287/inte.2022.1143. Disponível em: https://pubsonline.informs.org/doi/10.1287/inte.2022.1143. Acesso em: 30 jul. 2026.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CROSTON, J. D. Forecasting and stock control for intermittent demands. </w:t>
      </w:r>
      <w:r>
        <w:rPr>
          <w:rFonts w:ascii="Arial" w:hAnsi="Arial"/>
          <w:b/>
          <w:sz w:val="24"/>
        </w:rPr>
        <w:t>Operational Research Quarterly</w:t>
      </w:r>
      <w:r>
        <w:rPr>
          <w:rFonts w:ascii="Arial" w:hAnsi="Arial"/>
          <w:sz w:val="24"/>
        </w:rPr>
        <w:t>, v. 23, n. 3, p. 289-303, 1972.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DE KOSTER, R.; LE-DUC, T.; ROODBERGEN, K. J. Design and control of warehouse order picking: a literature review. </w:t>
      </w:r>
      <w:r>
        <w:rPr>
          <w:rFonts w:ascii="Arial" w:hAnsi="Arial"/>
          <w:b/>
          <w:sz w:val="24"/>
        </w:rPr>
        <w:t>European Journal of Operational Research</w:t>
      </w:r>
      <w:r>
        <w:rPr>
          <w:rFonts w:ascii="Arial" w:hAnsi="Arial"/>
          <w:sz w:val="24"/>
        </w:rPr>
        <w:t>, v. 182, n. 2, p. 481-501, 2007.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DE SANTIS, R.; MONTANARI, R.; VIGNALI, G.; BOTTANI, E. An adapted ant colony optimization algorithm for the minimization of the travel distance of pickers in manual warehouses. </w:t>
      </w:r>
      <w:r>
        <w:rPr>
          <w:rFonts w:ascii="Arial" w:hAnsi="Arial"/>
          <w:b/>
          <w:sz w:val="24"/>
        </w:rPr>
        <w:t>European Journal of Operational Research</w:t>
      </w:r>
      <w:r>
        <w:rPr>
          <w:rFonts w:ascii="Arial" w:hAnsi="Arial"/>
          <w:sz w:val="24"/>
        </w:rPr>
        <w:t>, v. 267, n. 1, p. 120-137, 2018.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DORIGO, M.; STÜTZLE, T. </w:t>
      </w:r>
      <w:r>
        <w:rPr>
          <w:rFonts w:ascii="Arial" w:hAnsi="Arial"/>
          <w:b/>
          <w:sz w:val="24"/>
        </w:rPr>
        <w:t>Ant colony optimization</w:t>
      </w:r>
      <w:r>
        <w:rPr>
          <w:rFonts w:ascii="Arial" w:hAnsi="Arial"/>
          <w:sz w:val="24"/>
        </w:rPr>
        <w:t>. Cambridge: MIT Press, 2004.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MORETTIN, P. A. </w:t>
      </w:r>
      <w:r>
        <w:rPr>
          <w:rFonts w:ascii="Arial" w:hAnsi="Arial"/>
          <w:b/>
          <w:sz w:val="24"/>
        </w:rPr>
        <w:t>Análise de séries temporais</w:t>
      </w:r>
      <w:r>
        <w:rPr>
          <w:rFonts w:ascii="Arial" w:hAnsi="Arial"/>
          <w:sz w:val="24"/>
        </w:rPr>
        <w:t>. São Paulo: Blucher, 2018.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NORVIG, P. </w:t>
      </w:r>
      <w:r>
        <w:rPr>
          <w:rFonts w:ascii="Arial" w:hAnsi="Arial"/>
          <w:b/>
          <w:sz w:val="24"/>
        </w:rPr>
        <w:t>Inteligência artificial</w:t>
      </w:r>
      <w:r>
        <w:rPr>
          <w:rFonts w:ascii="Arial" w:hAnsi="Arial"/>
          <w:sz w:val="24"/>
        </w:rPr>
        <w:t>. Rio de Janeiro: LTC, 2013.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STEIN, R. et al. </w:t>
      </w:r>
      <w:r>
        <w:rPr>
          <w:rFonts w:ascii="Arial" w:hAnsi="Arial"/>
          <w:b/>
          <w:sz w:val="24"/>
        </w:rPr>
        <w:t>Modelagem e otimização de sistemas da produção</w:t>
      </w:r>
      <w:r>
        <w:rPr>
          <w:rFonts w:ascii="Arial" w:hAnsi="Arial"/>
          <w:sz w:val="24"/>
        </w:rPr>
        <w:t>. Porto Alegre: SAGAH, 2018.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SYNTETOS, A. A.; BOYLAN, J. E. The accuracy of intermittent demand estimates. </w:t>
      </w:r>
      <w:r>
        <w:rPr>
          <w:rFonts w:ascii="Arial" w:hAnsi="Arial"/>
          <w:b/>
          <w:sz w:val="24"/>
        </w:rPr>
        <w:t>International Journal of Forecasting</w:t>
      </w:r>
      <w:r>
        <w:rPr>
          <w:rFonts w:ascii="Arial" w:hAnsi="Arial"/>
          <w:sz w:val="24"/>
        </w:rPr>
        <w:t>, v. 21, n. 2, p. 303-314, 2005.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