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01F4" w:rsidRDefault="000F17FF">
      <w:pPr>
        <w:jc w:val="center"/>
      </w:pPr>
      <w:r>
        <w:rPr>
          <w:b/>
        </w:rPr>
        <w:t>PONTIFÍCIA UNIVERSIDADE CATÓLICA DO PARANÁ</w:t>
      </w:r>
    </w:p>
    <w:p w:rsidR="002501F4" w:rsidRDefault="000F17FF">
      <w:pPr>
        <w:jc w:val="center"/>
      </w:pPr>
      <w:proofErr w:type="spellStart"/>
      <w:r>
        <w:t>Inteligência</w:t>
      </w:r>
      <w:proofErr w:type="spellEnd"/>
      <w:r>
        <w:t xml:space="preserve"> artificial </w:t>
      </w:r>
      <w:proofErr w:type="spellStart"/>
      <w:r>
        <w:t>aplicada</w:t>
      </w:r>
      <w:proofErr w:type="spellEnd"/>
    </w:p>
    <w:p w:rsidR="002501F4" w:rsidRDefault="000F17FF">
      <w:pPr>
        <w:spacing w:after="3600"/>
        <w:jc w:val="center"/>
      </w:pPr>
      <w:r>
        <w:t xml:space="preserve">IA </w:t>
      </w:r>
      <w:proofErr w:type="gramStart"/>
      <w:r>
        <w:t>na</w:t>
      </w:r>
      <w:proofErr w:type="gramEnd"/>
      <w:r>
        <w:t xml:space="preserve"> Gestão de Negócios</w:t>
      </w:r>
    </w:p>
    <w:p w:rsidR="002501F4" w:rsidRDefault="000F17FF">
      <w:pPr>
        <w:spacing w:after="3600"/>
        <w:jc w:val="center"/>
      </w:pPr>
      <w:r>
        <w:rPr>
          <w:b/>
        </w:rPr>
        <w:t xml:space="preserve">INTELIGÊNCIA ARTIFICIAL APLICADA À OTIMIZAÇÃO DA SEPARAÇÃO DE PEDIDOS (ORDER PICKING) EM CENTROS DE DISTRIBUIÇÃO: PROPOSTA DE ABORDAGEM COM </w:t>
      </w:r>
      <w:r>
        <w:rPr>
          <w:b/>
        </w:rPr>
        <w:t>META-HEURÍSTICAS BIOINSPIRADAS E APRENDIZADO DE MÁQUI</w:t>
      </w:r>
      <w:r>
        <w:rPr>
          <w:b/>
        </w:rPr>
        <w:t>A</w:t>
      </w:r>
      <w:bookmarkStart w:id="0" w:name="_GoBack"/>
      <w:bookmarkEnd w:id="0"/>
    </w:p>
    <w:p w:rsidR="002501F4" w:rsidRDefault="000F17FF" w:rsidP="000F17FF">
      <w:pPr>
        <w:spacing w:line="276" w:lineRule="auto"/>
        <w:jc w:val="center"/>
      </w:pPr>
      <w:r>
        <w:t>Marcos Daniel Santana</w:t>
      </w:r>
    </w:p>
    <w:p w:rsidR="000F17FF" w:rsidRDefault="000F17FF" w:rsidP="000F17FF">
      <w:pPr>
        <w:spacing w:line="276" w:lineRule="auto"/>
        <w:jc w:val="center"/>
      </w:pPr>
    </w:p>
    <w:p w:rsidR="000F17FF" w:rsidRDefault="000F17FF" w:rsidP="000F17FF">
      <w:pPr>
        <w:spacing w:line="276" w:lineRule="auto"/>
        <w:jc w:val="center"/>
      </w:pPr>
    </w:p>
    <w:p w:rsidR="000F17FF" w:rsidRDefault="000F17FF" w:rsidP="000F17FF">
      <w:pPr>
        <w:spacing w:line="276" w:lineRule="auto"/>
        <w:jc w:val="center"/>
      </w:pPr>
    </w:p>
    <w:p w:rsidR="000F17FF" w:rsidRDefault="000F17FF" w:rsidP="000F17FF">
      <w:pPr>
        <w:spacing w:line="276" w:lineRule="auto"/>
        <w:jc w:val="center"/>
      </w:pPr>
    </w:p>
    <w:p w:rsidR="002501F4" w:rsidRDefault="000F17FF">
      <w:pPr>
        <w:jc w:val="center"/>
      </w:pPr>
      <w:r>
        <w:t>Curitiba</w:t>
      </w:r>
    </w:p>
    <w:p w:rsidR="002501F4" w:rsidRDefault="000F17FF">
      <w:pPr>
        <w:jc w:val="center"/>
      </w:pPr>
      <w:r>
        <w:t>2026</w:t>
      </w:r>
    </w:p>
    <w:p w:rsidR="002501F4" w:rsidRDefault="000F17FF">
      <w:r>
        <w:br w:type="page"/>
      </w:r>
    </w:p>
    <w:p w:rsidR="002501F4" w:rsidRDefault="000F17FF">
      <w:pPr>
        <w:keepNext/>
        <w:spacing w:before="360" w:after="120"/>
        <w:jc w:val="left"/>
      </w:pPr>
      <w:r>
        <w:rPr>
          <w:b/>
        </w:rPr>
        <w:lastRenderedPageBreak/>
        <w:t>1 INTRODUÇÃO</w:t>
      </w:r>
    </w:p>
    <w:p w:rsidR="002501F4" w:rsidRDefault="000F17FF">
      <w:pPr>
        <w:spacing w:after="120"/>
        <w:ind w:firstLine="709"/>
      </w:pPr>
      <w:r>
        <w:t>A consolidação do comércio eletrônico e das estratégias omnichannel converteu o prazo de entrega em atributo competitivo central: o consumidor que nã</w:t>
      </w:r>
      <w:r>
        <w:t xml:space="preserve">o encontra o produto disponível migra para o concorrente a um custo de troca praticamente nulo. A cadeia de suprimentos passa a operar com respostas mais rápidas e entregas mais frequentes, na lógica do </w:t>
      </w:r>
      <w:r>
        <w:rPr>
          <w:i/>
        </w:rPr>
        <w:t>Just-in-Time</w:t>
      </w:r>
      <w:r>
        <w:t>. Nesse cenário, o Centro de Distribuição</w:t>
      </w:r>
      <w:r>
        <w:t xml:space="preserve"> (CD) deixou de ser um depósito para se tornar o principal ativo de nível de serviço da rede. Sua missão é dupla e internamente contraditória: amortecer a variação entre a programação dos fornecedores e a demanda real das lojas e, ao mesmo tempo, repor os </w:t>
      </w:r>
      <w:r>
        <w:t xml:space="preserve">pontos de venda sem gerar ruptura nem superestocagem. Para cumpri-la, executa quatro atividades básicas — recebimento, estocagem, separação e expedição —, além de acessórias como </w:t>
      </w:r>
      <w:r>
        <w:rPr>
          <w:i/>
        </w:rPr>
        <w:t>packing</w:t>
      </w:r>
      <w:r>
        <w:t xml:space="preserve"> e </w:t>
      </w:r>
      <w:r>
        <w:rPr>
          <w:i/>
        </w:rPr>
        <w:t>cross-docking</w:t>
      </w:r>
      <w:r>
        <w:t>.</w:t>
      </w:r>
    </w:p>
    <w:p w:rsidR="002501F4" w:rsidRDefault="000F17FF">
      <w:pPr>
        <w:spacing w:after="120"/>
        <w:ind w:firstLine="709"/>
      </w:pPr>
      <w:r>
        <w:t xml:space="preserve">Dentre elas, a separação de pedidos, ou </w:t>
      </w:r>
      <w:r>
        <w:rPr>
          <w:i/>
        </w:rPr>
        <w:t>order pickin</w:t>
      </w:r>
      <w:r>
        <w:rPr>
          <w:i/>
        </w:rPr>
        <w:t>g</w:t>
      </w:r>
      <w:r>
        <w:t xml:space="preserve">, é a mais crítica economicamente. De Koster, Le-Duc e Roodbergen (2007) estimam que responda por até 55% da despesa operacional de um armazém, e que a maior parcela desse custo seja consumida pelo deslocamento do separador entre os endereços de coleta — </w:t>
      </w:r>
      <w:r>
        <w:t>tempo que não agrega valor algum ao produto. Reduzir a distância percorrida é, portanto, a alavanca mais direta de que o gestor logístico dispõe para melhorar simultaneamente custo e nível de serviço.</w:t>
      </w:r>
    </w:p>
    <w:p w:rsidR="002501F4" w:rsidRDefault="000F17FF">
      <w:pPr>
        <w:spacing w:after="120"/>
        <w:ind w:firstLine="709"/>
      </w:pPr>
      <w:r>
        <w:t>O problema tratado neste relatório é exatamente esse. A</w:t>
      </w:r>
      <w:r>
        <w:t>s decisões que determinam a distância percorrida — em que endereço armazenar cada item, como agrupar pedidos em lotes, em que sequência visitar os endereços e qual operador executa cada tarefa — são tomadas, na maior parte das operações brasileiras de port</w:t>
      </w:r>
      <w:r>
        <w:t>e médio, por regras estáticas embutidas no sistema de gerenciamento de armazém (WMS). São regras que desconsideram a sazonalidade da demanda, a afinidade entre produtos comprados em conjunto e o congestionamento gerado por dezenas de tarefas simultâneas no</w:t>
      </w:r>
      <w:r>
        <w:t>s mesmos corredores. O resultado é uma operação que consome mais mão de obra, equipamento e tempo do que o necessário para entregar o mesmo nível de serviço.</w:t>
      </w:r>
    </w:p>
    <w:p w:rsidR="002501F4" w:rsidRDefault="000F17FF">
      <w:pPr>
        <w:spacing w:after="120"/>
        <w:ind w:firstLine="709"/>
      </w:pPr>
      <w:r>
        <w:lastRenderedPageBreak/>
        <w:t xml:space="preserve">Os pontos de negócio abordados são: </w:t>
      </w:r>
      <w:r>
        <w:rPr>
          <w:b/>
        </w:rPr>
        <w:t>(i)</w:t>
      </w:r>
      <w:r>
        <w:t xml:space="preserve"> o custo operacional por linha separada; </w:t>
      </w:r>
      <w:r>
        <w:rPr>
          <w:b/>
        </w:rPr>
        <w:t>(ii)</w:t>
      </w:r>
      <w:r>
        <w:t xml:space="preserve"> a produtivida</w:t>
      </w:r>
      <w:r>
        <w:t xml:space="preserve">de da mão de obra; </w:t>
      </w:r>
      <w:r>
        <w:rPr>
          <w:b/>
        </w:rPr>
        <w:t>(iii)</w:t>
      </w:r>
      <w:r>
        <w:t xml:space="preserve"> o cumprimento da janela de corte para expedição; </w:t>
      </w:r>
      <w:r>
        <w:rPr>
          <w:b/>
        </w:rPr>
        <w:t>(iv)</w:t>
      </w:r>
      <w:r>
        <w:t xml:space="preserve"> o nível de serviço às lojas, aferido pela ausência de ruptura; </w:t>
      </w:r>
      <w:r>
        <w:rPr>
          <w:b/>
        </w:rPr>
        <w:t>(v)</w:t>
      </w:r>
      <w:r>
        <w:t xml:space="preserve"> o congestionamento interno; e </w:t>
      </w:r>
      <w:r>
        <w:rPr>
          <w:b/>
        </w:rPr>
        <w:t>(vi)</w:t>
      </w:r>
      <w:r>
        <w:t xml:space="preserve"> a decisão entre otimizar o processo existente e adquirir tecnologia de auto</w:t>
      </w:r>
      <w:r>
        <w:t>mação.</w:t>
      </w:r>
    </w:p>
    <w:p w:rsidR="002501F4" w:rsidRDefault="000F17FF">
      <w:pPr>
        <w:keepNext/>
        <w:spacing w:before="240" w:after="120"/>
        <w:jc w:val="left"/>
      </w:pPr>
      <w:r>
        <w:rPr>
          <w:b/>
        </w:rPr>
        <w:t>1.1 Enquadramento do setor de mercado</w:t>
      </w:r>
    </w:p>
    <w:p w:rsidR="002501F4" w:rsidRDefault="000F17FF">
      <w:pPr>
        <w:spacing w:after="120"/>
        <w:ind w:firstLine="709"/>
      </w:pPr>
      <w:r>
        <w:t>O problema é característico do varejo e da distribuição atacadista, mas manifesta-se com igual intensidade em comércio eletrônico puro, operadores logísticos terceirizados (3PL), distribuição farmacêutica e auto</w:t>
      </w:r>
      <w:r>
        <w:t>peças. O denominador comum é a combinação de elevado número de SKUs ativos, alta frequência de pedidos com poucas linhas cada e janelas de expedição rígidas — condições que, coexistindo, tornam o deslocamento o gargalo dominante.</w:t>
      </w:r>
    </w:p>
    <w:p w:rsidR="002501F4" w:rsidRDefault="000F17FF">
      <w:pPr>
        <w:spacing w:after="120"/>
        <w:ind w:firstLine="709"/>
      </w:pPr>
      <w:r>
        <w:t>Para conferir concretude à</w:t>
      </w:r>
      <w:r>
        <w:t xml:space="preserve"> proposta, adota-se como objeto uma empresa fictícia, porém dimensionada de forma representativa do porte médio brasileiro: a </w:t>
      </w:r>
      <w:r>
        <w:rPr>
          <w:b/>
        </w:rPr>
        <w:t>Rede Vetor Varejo S.A.</w:t>
      </w:r>
      <w:r>
        <w:t>, rede varejista omnichannel que opera um CD central próprio. O Quadro 1 sintetiza a operação, cujos parâmet</w:t>
      </w:r>
      <w:r>
        <w:t>ros serão retomados ao longo do relatório.</w:t>
      </w:r>
    </w:p>
    <w:p w:rsidR="002501F4" w:rsidRDefault="000F17FF">
      <w:pPr>
        <w:keepNext/>
        <w:spacing w:before="240" w:after="60" w:line="240" w:lineRule="auto"/>
        <w:jc w:val="left"/>
      </w:pPr>
      <w:r>
        <w:rPr>
          <w:b/>
          <w:sz w:val="20"/>
        </w:rPr>
        <w:t xml:space="preserve">Quadro 1 – </w:t>
      </w:r>
      <w:r>
        <w:rPr>
          <w:sz w:val="20"/>
        </w:rPr>
        <w:t>Caracterização do centro de distribuição objeto da proposta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5669"/>
      </w:tblGrid>
      <w:tr w:rsidR="002501F4">
        <w:tc>
          <w:tcPr>
            <w:tcW w:w="2835" w:type="dxa"/>
            <w:vAlign w:val="center"/>
          </w:tcPr>
          <w:p w:rsidR="002501F4" w:rsidRDefault="000F17FF">
            <w:pPr>
              <w:spacing w:before="40" w:after="40" w:line="240" w:lineRule="auto"/>
              <w:jc w:val="center"/>
            </w:pPr>
            <w:r>
              <w:rPr>
                <w:b/>
                <w:sz w:val="18"/>
              </w:rPr>
              <w:t>Parâmetro</w:t>
            </w:r>
          </w:p>
        </w:tc>
        <w:tc>
          <w:tcPr>
            <w:tcW w:w="5669" w:type="dxa"/>
            <w:vAlign w:val="center"/>
          </w:tcPr>
          <w:p w:rsidR="002501F4" w:rsidRDefault="000F17FF">
            <w:pPr>
              <w:spacing w:before="40" w:after="40" w:line="240" w:lineRule="auto"/>
              <w:jc w:val="center"/>
            </w:pPr>
            <w:r>
              <w:rPr>
                <w:b/>
                <w:sz w:val="18"/>
              </w:rPr>
              <w:t>Valor</w:t>
            </w:r>
          </w:p>
        </w:tc>
      </w:tr>
      <w:tr w:rsidR="002501F4">
        <w:tc>
          <w:tcPr>
            <w:tcW w:w="2835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Área útil de armazenagem</w:t>
            </w:r>
          </w:p>
        </w:tc>
        <w:tc>
          <w:tcPr>
            <w:tcW w:w="5669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14.000 m²</w:t>
            </w:r>
          </w:p>
        </w:tc>
      </w:tr>
      <w:tr w:rsidR="002501F4">
        <w:tc>
          <w:tcPr>
            <w:tcW w:w="2835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Número de ruas (corredores)</w:t>
            </w:r>
          </w:p>
        </w:tc>
        <w:tc>
          <w:tcPr>
            <w:tcW w:w="5669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42</w:t>
            </w:r>
          </w:p>
        </w:tc>
      </w:tr>
      <w:tr w:rsidR="002501F4">
        <w:tc>
          <w:tcPr>
            <w:tcW w:w="2835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Estrutura vertical</w:t>
            </w:r>
          </w:p>
        </w:tc>
        <w:tc>
          <w:tcPr>
            <w:tcW w:w="5669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 xml:space="preserve">3 níveis de picking + 4 níveis de </w:t>
            </w:r>
            <w:r>
              <w:rPr>
                <w:sz w:val="18"/>
              </w:rPr>
              <w:t>armazenagem aérea</w:t>
            </w:r>
          </w:p>
        </w:tc>
      </w:tr>
      <w:tr w:rsidR="002501F4">
        <w:tc>
          <w:tcPr>
            <w:tcW w:w="2835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SKUs ativos</w:t>
            </w:r>
          </w:p>
        </w:tc>
        <w:tc>
          <w:tcPr>
            <w:tcW w:w="5669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22.000</w:t>
            </w:r>
          </w:p>
        </w:tc>
      </w:tr>
      <w:tr w:rsidR="002501F4">
        <w:tc>
          <w:tcPr>
            <w:tcW w:w="2835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Lojas atendidas</w:t>
            </w:r>
          </w:p>
        </w:tc>
        <w:tc>
          <w:tcPr>
            <w:tcW w:w="5669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120 lojas em 6 estados</w:t>
            </w:r>
          </w:p>
        </w:tc>
      </w:tr>
      <w:tr w:rsidR="002501F4">
        <w:tc>
          <w:tcPr>
            <w:tcW w:w="2835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Pedidos por dia</w:t>
            </w:r>
          </w:p>
        </w:tc>
        <w:tc>
          <w:tcPr>
            <w:tcW w:w="5669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3.200 (2.100 de reposição de lojas + 1.100 de e-commerce)</w:t>
            </w:r>
          </w:p>
        </w:tc>
      </w:tr>
      <w:tr w:rsidR="002501F4">
        <w:tc>
          <w:tcPr>
            <w:tcW w:w="2835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Linhas por pedido (média)</w:t>
            </w:r>
          </w:p>
        </w:tc>
        <w:tc>
          <w:tcPr>
            <w:tcW w:w="5669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18,0 (lojas) / 3,2 (e-commerce)</w:t>
            </w:r>
          </w:p>
        </w:tc>
      </w:tr>
      <w:tr w:rsidR="002501F4">
        <w:tc>
          <w:tcPr>
            <w:tcW w:w="2835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Linhas de separação por dia</w:t>
            </w:r>
          </w:p>
        </w:tc>
        <w:tc>
          <w:tcPr>
            <w:tcW w:w="5669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aproximadamente</w:t>
            </w:r>
            <w:r>
              <w:rPr>
                <w:sz w:val="18"/>
              </w:rPr>
              <w:t xml:space="preserve"> 46.000</w:t>
            </w:r>
          </w:p>
        </w:tc>
      </w:tr>
      <w:tr w:rsidR="002501F4">
        <w:tc>
          <w:tcPr>
            <w:tcW w:w="2835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Separadores por turno</w:t>
            </w:r>
          </w:p>
        </w:tc>
        <w:tc>
          <w:tcPr>
            <w:tcW w:w="5669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68, em 3 turnos</w:t>
            </w:r>
          </w:p>
        </w:tc>
      </w:tr>
      <w:tr w:rsidR="002501F4">
        <w:tc>
          <w:tcPr>
            <w:tcW w:w="2835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Equipamentos de movimentação</w:t>
            </w:r>
          </w:p>
        </w:tc>
        <w:tc>
          <w:tcPr>
            <w:tcW w:w="5669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34 transpaleteiras, 12 empilhadeiras, 9 selecionadoras de pedidos</w:t>
            </w:r>
          </w:p>
        </w:tc>
      </w:tr>
      <w:tr w:rsidR="002501F4">
        <w:tc>
          <w:tcPr>
            <w:tcW w:w="2835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Sistema de gestão</w:t>
            </w:r>
          </w:p>
        </w:tc>
        <w:tc>
          <w:tcPr>
            <w:tcW w:w="5669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WMS comercial integrado ao ERP corporativo</w:t>
            </w:r>
          </w:p>
        </w:tc>
      </w:tr>
    </w:tbl>
    <w:p w:rsidR="002501F4" w:rsidRDefault="000F17FF">
      <w:pPr>
        <w:spacing w:before="60" w:after="240" w:line="240" w:lineRule="auto"/>
        <w:jc w:val="left"/>
      </w:pPr>
      <w:r>
        <w:rPr>
          <w:sz w:val="18"/>
        </w:rPr>
        <w:t>Fonte: o autor (2026).</w:t>
      </w:r>
    </w:p>
    <w:p w:rsidR="002501F4" w:rsidRDefault="000F17FF">
      <w:pPr>
        <w:spacing w:after="120"/>
        <w:ind w:firstLine="709"/>
      </w:pPr>
      <w:r>
        <w:t>A convivência de dois perfi</w:t>
      </w:r>
      <w:r>
        <w:t xml:space="preserve">s de separação no mesmo armazém torna o caso especialmente ilustrativo. A reposição de lojas produz pedidos grandes, previsíveis e </w:t>
      </w:r>
      <w:r>
        <w:lastRenderedPageBreak/>
        <w:t>majoritariamente em caixa fechada; o comércio eletrônico, pedidos pequenos, voláteis e em unidade de venda (</w:t>
      </w:r>
      <w:r>
        <w:rPr>
          <w:i/>
        </w:rPr>
        <w:t>each picking</w:t>
      </w:r>
      <w:r>
        <w:t>). Am</w:t>
      </w:r>
      <w:r>
        <w:t>bos disputam os mesmos corredores, equipamentos e equipe, mas respondem de forma distinta às técnicas de otimização — o que justifica, na Seção 3, a proposição de duas abordagens complementares em vez de uma solução única.</w:t>
      </w:r>
    </w:p>
    <w:p w:rsidR="002501F4" w:rsidRDefault="000F17FF">
      <w:pPr>
        <w:keepNext/>
        <w:spacing w:before="360" w:after="120"/>
        <w:jc w:val="left"/>
      </w:pPr>
      <w:r>
        <w:rPr>
          <w:b/>
        </w:rPr>
        <w:t>2 DESCRIÇÃO DO PROBLEMA E DADOS A</w:t>
      </w:r>
      <w:r>
        <w:rPr>
          <w:b/>
        </w:rPr>
        <w:t>SSOCIADOS</w:t>
      </w:r>
    </w:p>
    <w:p w:rsidR="002501F4" w:rsidRDefault="000F17FF">
      <w:pPr>
        <w:keepNext/>
        <w:spacing w:before="240" w:after="120"/>
        <w:jc w:val="left"/>
      </w:pPr>
      <w:r>
        <w:rPr>
          <w:b/>
        </w:rPr>
        <w:t>2.1 Decomposição do problema em subproblemas acoplados</w:t>
      </w:r>
    </w:p>
    <w:p w:rsidR="002501F4" w:rsidRDefault="000F17FF">
      <w:pPr>
        <w:spacing w:after="120"/>
        <w:ind w:firstLine="709"/>
      </w:pPr>
      <w:r>
        <w:t xml:space="preserve">O que se descreve genericamente como “otimização do </w:t>
      </w:r>
      <w:r>
        <w:rPr>
          <w:i/>
        </w:rPr>
        <w:t>picking</w:t>
      </w:r>
      <w:r>
        <w:t>” é, na realidade, um conjunto de quatro problemas de decisão acoplados. Tratá-los como bloco único é a origem de boa parte das tent</w:t>
      </w:r>
      <w:r>
        <w:t>ativas malsucedidas de melhoria observadas na prática empresarial.</w:t>
      </w:r>
    </w:p>
    <w:p w:rsidR="002501F4" w:rsidRDefault="000F17FF">
      <w:pPr>
        <w:spacing w:after="120"/>
        <w:ind w:firstLine="709"/>
      </w:pPr>
      <w:r>
        <w:rPr>
          <w:b/>
        </w:rPr>
        <w:t>(1) SLAP — Storage Location Assignment Problem.</w:t>
      </w:r>
      <w:r>
        <w:t xml:space="preserve"> Define em qual endereço físico cada SKU será armazenado. É a decisão de maior alcance, porque estabelece a geografia sobre a qual todas as de</w:t>
      </w:r>
      <w:r>
        <w:t>mais operam: um item de altíssimo giro alocado no extremo oposto à doca impõe um custo de deslocamento que se repete em todas as viagens, todos os dias.</w:t>
      </w:r>
    </w:p>
    <w:p w:rsidR="002501F4" w:rsidRDefault="000F17FF">
      <w:pPr>
        <w:spacing w:after="120"/>
        <w:ind w:firstLine="709"/>
      </w:pPr>
      <w:r>
        <w:rPr>
          <w:b/>
        </w:rPr>
        <w:t>(2) OBP — Order Batching Problem.</w:t>
      </w:r>
      <w:r>
        <w:t xml:space="preserve"> Define como agrupar pedidos em lotes de separação. Separar cada pedid</w:t>
      </w:r>
      <w:r>
        <w:t>o de e-commerce isoladamente significa percorrer o armazém para coletar, em média, 3,2 itens; agrupar pedidos que compartilham regiões amortiza a mesma viagem entre vários pedidos.</w:t>
      </w:r>
    </w:p>
    <w:p w:rsidR="002501F4" w:rsidRDefault="000F17FF">
      <w:pPr>
        <w:spacing w:after="120"/>
        <w:ind w:firstLine="709"/>
      </w:pPr>
      <w:r>
        <w:rPr>
          <w:b/>
        </w:rPr>
        <w:t>(3) PRP — Picker Routing Problem.</w:t>
      </w:r>
      <w:r>
        <w:t xml:space="preserve"> Define a sequência de visita aos endereços de um lote; é o subproblema mais estudado na literatura e o mais diretamente ligado à distância percorrida. </w:t>
      </w:r>
      <w:r>
        <w:rPr>
          <w:b/>
        </w:rPr>
        <w:t>(4) Designação de tarefas e controle de congestionamento.</w:t>
      </w:r>
      <w:r>
        <w:t xml:space="preserve"> Define qual operador e qual equipamento execut</w:t>
      </w:r>
      <w:r>
        <w:t>am cada tarefa e quando. Como separação, ressuprimento e armazenagem ocorrem simultaneamente nos mesmos corredores, a má distribuição das tarefas no tempo produz filas e bloqueios — fenômeno análogo ao congestionamento urbano.</w:t>
      </w:r>
    </w:p>
    <w:p w:rsidR="002501F4" w:rsidRDefault="000F17FF">
      <w:pPr>
        <w:spacing w:after="120"/>
        <w:ind w:firstLine="709"/>
      </w:pPr>
      <w:r>
        <w:lastRenderedPageBreak/>
        <w:t xml:space="preserve">O acoplamento entre eles é o </w:t>
      </w:r>
      <w:r>
        <w:t>que torna o conjunto difícil: o endereçamento altera a matriz de distâncias que alimenta a roteirização, a formação de lotes determina quais endereços serão visitados na mesma viagem e a designação define quantos operadores disputarão o mesmo corredor. Oti</w:t>
      </w:r>
      <w:r>
        <w:t>mizar cada subproblema isoladamente pode, inclusive, deteriorar o resultado global. O Quadro 2 apresenta a situação atual de cada um no CD analisado, que constitui a linha de base contra a qual os ganhos serão medidos.</w:t>
      </w:r>
    </w:p>
    <w:p w:rsidR="002501F4" w:rsidRDefault="000F17FF">
      <w:pPr>
        <w:keepNext/>
        <w:spacing w:before="240" w:after="60" w:line="240" w:lineRule="auto"/>
        <w:jc w:val="left"/>
      </w:pPr>
      <w:r>
        <w:rPr>
          <w:b/>
          <w:sz w:val="20"/>
        </w:rPr>
        <w:t xml:space="preserve">Quadro 2 – </w:t>
      </w:r>
      <w:r>
        <w:rPr>
          <w:sz w:val="20"/>
        </w:rPr>
        <w:t xml:space="preserve">Subproblemas de decisão e </w:t>
      </w:r>
      <w:r>
        <w:rPr>
          <w:sz w:val="20"/>
        </w:rPr>
        <w:t>situação atual (linha de base)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2721"/>
        <w:gridCol w:w="3742"/>
      </w:tblGrid>
      <w:tr w:rsidR="002501F4">
        <w:tc>
          <w:tcPr>
            <w:tcW w:w="2041" w:type="dxa"/>
            <w:vAlign w:val="center"/>
          </w:tcPr>
          <w:p w:rsidR="002501F4" w:rsidRDefault="000F17FF">
            <w:pPr>
              <w:spacing w:before="40" w:after="40" w:line="240" w:lineRule="auto"/>
              <w:jc w:val="center"/>
            </w:pPr>
            <w:r>
              <w:rPr>
                <w:b/>
                <w:sz w:val="18"/>
              </w:rPr>
              <w:t>Subproblema</w:t>
            </w:r>
          </w:p>
        </w:tc>
        <w:tc>
          <w:tcPr>
            <w:tcW w:w="2721" w:type="dxa"/>
            <w:vAlign w:val="center"/>
          </w:tcPr>
          <w:p w:rsidR="002501F4" w:rsidRDefault="000F17FF">
            <w:pPr>
              <w:spacing w:before="40" w:after="40" w:line="240" w:lineRule="auto"/>
              <w:jc w:val="center"/>
            </w:pPr>
            <w:r>
              <w:rPr>
                <w:b/>
                <w:sz w:val="18"/>
              </w:rPr>
              <w:t>Decisão envolvida</w:t>
            </w:r>
          </w:p>
        </w:tc>
        <w:tc>
          <w:tcPr>
            <w:tcW w:w="3742" w:type="dxa"/>
            <w:vAlign w:val="center"/>
          </w:tcPr>
          <w:p w:rsidR="002501F4" w:rsidRDefault="000F17FF">
            <w:pPr>
              <w:spacing w:before="40" w:after="40" w:line="240" w:lineRule="auto"/>
              <w:jc w:val="center"/>
            </w:pPr>
            <w:r>
              <w:rPr>
                <w:b/>
                <w:sz w:val="18"/>
              </w:rPr>
              <w:t>Situação atual no CD analisado</w:t>
            </w:r>
          </w:p>
        </w:tc>
      </w:tr>
      <w:tr w:rsidR="002501F4">
        <w:tc>
          <w:tcPr>
            <w:tcW w:w="2041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SLAP – Endereçamento</w:t>
            </w:r>
          </w:p>
        </w:tc>
        <w:tc>
          <w:tcPr>
            <w:tcW w:w="2721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Em que endereço armazenar cada SKU</w:t>
            </w:r>
          </w:p>
        </w:tc>
        <w:tc>
          <w:tcPr>
            <w:tcW w:w="3742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Alocação estática por categoria mercadológica, revista uma vez por ano</w:t>
            </w:r>
          </w:p>
        </w:tc>
      </w:tr>
      <w:tr w:rsidR="002501F4">
        <w:tc>
          <w:tcPr>
            <w:tcW w:w="2041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OBP – Formação de lotes</w:t>
            </w:r>
          </w:p>
        </w:tc>
        <w:tc>
          <w:tcPr>
            <w:tcW w:w="2721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Como agrupa</w:t>
            </w:r>
            <w:r>
              <w:rPr>
                <w:sz w:val="18"/>
              </w:rPr>
              <w:t>r pedidos em lotes</w:t>
            </w:r>
          </w:p>
        </w:tc>
        <w:tc>
          <w:tcPr>
            <w:tcW w:w="3742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Agrupamento por ordem de chegada (FIFO) na onda, sem otimização</w:t>
            </w:r>
          </w:p>
        </w:tc>
      </w:tr>
      <w:tr w:rsidR="002501F4">
        <w:tc>
          <w:tcPr>
            <w:tcW w:w="2041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PRP – Roteirização</w:t>
            </w:r>
          </w:p>
        </w:tc>
        <w:tc>
          <w:tcPr>
            <w:tcW w:w="2721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Em que sequência visitar os endereços</w:t>
            </w:r>
          </w:p>
        </w:tc>
        <w:tc>
          <w:tcPr>
            <w:tcW w:w="3742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Heurística S-shape fixa, embutida no WMS</w:t>
            </w:r>
          </w:p>
        </w:tc>
      </w:tr>
      <w:tr w:rsidR="002501F4">
        <w:tc>
          <w:tcPr>
            <w:tcW w:w="2041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Designação de tarefas</w:t>
            </w:r>
          </w:p>
        </w:tc>
        <w:tc>
          <w:tcPr>
            <w:tcW w:w="2721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Qual operador executa qual tarefa e quando</w:t>
            </w:r>
          </w:p>
        </w:tc>
        <w:tc>
          <w:tcPr>
            <w:tcW w:w="3742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 xml:space="preserve">Por </w:t>
            </w:r>
            <w:r>
              <w:rPr>
                <w:sz w:val="18"/>
              </w:rPr>
              <w:t>disponibilidade do operador, sem previsão de congestionamento</w:t>
            </w:r>
          </w:p>
        </w:tc>
      </w:tr>
    </w:tbl>
    <w:p w:rsidR="002501F4" w:rsidRDefault="000F17FF">
      <w:pPr>
        <w:spacing w:before="60" w:after="240" w:line="240" w:lineRule="auto"/>
        <w:jc w:val="left"/>
      </w:pPr>
      <w:r>
        <w:rPr>
          <w:sz w:val="18"/>
        </w:rPr>
        <w:t>Fonte: o autor (2026).</w:t>
      </w:r>
    </w:p>
    <w:p w:rsidR="002501F4" w:rsidRDefault="000F17FF">
      <w:pPr>
        <w:spacing w:after="120"/>
        <w:ind w:firstLine="709"/>
      </w:pPr>
      <w:r>
        <w:t>Do ponto de vista computacional, o PRP é uma variante do Problema do Caixeiro Viajante de Steiner e pertence à classe NP-difícil: um lote com 30 endereços admite, no limi</w:t>
      </w:r>
      <w:r>
        <w:t xml:space="preserve">te teórico, 30! (cerca de 2,65 × 10³²) sequências possíveis. Somando-se a isso as 46.000 linhas diárias e a entrada e o cancelamento contínuos de pedidos, conclui-se que a solução precisa ser não apenas boa, mas obtida em segundos e capaz de se ajustar em </w:t>
      </w:r>
      <w:r>
        <w:t>tempo real — nicho das meta-heurísticas e das técnicas de inteligência artificial.</w:t>
      </w:r>
    </w:p>
    <w:p w:rsidR="002501F4" w:rsidRDefault="000F17FF">
      <w:pPr>
        <w:keepNext/>
        <w:spacing w:before="240" w:after="60" w:line="240" w:lineRule="auto"/>
        <w:jc w:val="center"/>
      </w:pPr>
      <w:r>
        <w:rPr>
          <w:b/>
          <w:sz w:val="20"/>
        </w:rPr>
        <w:lastRenderedPageBreak/>
        <w:t xml:space="preserve">Figura 1 – </w:t>
      </w:r>
      <w:r>
        <w:rPr>
          <w:sz w:val="20"/>
        </w:rPr>
        <w:t>Representação esquemática do centro de distribuição como grafo de roteirização</w:t>
      </w:r>
    </w:p>
    <w:p w:rsidR="002501F4" w:rsidRDefault="000F17FF">
      <w:pPr>
        <w:spacing w:after="60"/>
        <w:jc w:val="center"/>
      </w:pPr>
      <w:r>
        <w:rPr>
          <w:noProof/>
          <w:lang w:val="pt-BR" w:eastAsia="pt-BR"/>
        </w:rPr>
        <w:drawing>
          <wp:inline distT="0" distB="0" distL="0" distR="0">
            <wp:extent cx="5400000" cy="27875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layout_c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8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1F4" w:rsidRDefault="000F17FF">
      <w:pPr>
        <w:spacing w:after="240" w:line="240" w:lineRule="auto"/>
        <w:jc w:val="center"/>
      </w:pPr>
      <w:r>
        <w:rPr>
          <w:sz w:val="18"/>
        </w:rPr>
        <w:t>Fonte: o autor (2026).</w:t>
      </w:r>
    </w:p>
    <w:p w:rsidR="002501F4" w:rsidRDefault="000F17FF">
      <w:pPr>
        <w:spacing w:after="120"/>
        <w:ind w:firstLine="709"/>
      </w:pPr>
      <w:r>
        <w:t>A Figura 1 ilustra a modelagem adotada: os vértices são os</w:t>
      </w:r>
      <w:r>
        <w:t xml:space="preserve"> endereços de </w:t>
      </w:r>
      <w:r>
        <w:rPr>
          <w:i/>
        </w:rPr>
        <w:t>picking</w:t>
      </w:r>
      <w:r>
        <w:t xml:space="preserve"> e a doca de expedição, e as arestas são os trechos de corredor, ponderados pela distância real. Toda a proposta consiste, em última análise, em encurtar o percurso destacado — seja escolhendo uma sequência melhor, seja mudando os ende</w:t>
      </w:r>
      <w:r>
        <w:t>reços que precisam ser visitados.</w:t>
      </w:r>
    </w:p>
    <w:p w:rsidR="002501F4" w:rsidRDefault="000F17FF">
      <w:pPr>
        <w:keepNext/>
        <w:spacing w:before="240" w:after="120"/>
        <w:jc w:val="left"/>
      </w:pPr>
      <w:r>
        <w:rPr>
          <w:b/>
        </w:rPr>
        <w:t>2.2 Dados de entrada necessários</w:t>
      </w:r>
    </w:p>
    <w:p w:rsidR="002501F4" w:rsidRDefault="000F17FF">
      <w:pPr>
        <w:spacing w:after="120"/>
        <w:ind w:firstLine="709"/>
      </w:pPr>
      <w:r>
        <w:t>Os Quadros 3 a 7 descrevem as cinco estruturas de dados necessárias, com campos, tipos e conteúdos. Duas são tabelas dimensionais — cadastro de produtos e mapa de endereçamento —, que descr</w:t>
      </w:r>
      <w:r>
        <w:t>evem o estado do sistema; as demais são tabelas de fatos, que registram o ocorrido.</w:t>
      </w:r>
    </w:p>
    <w:p w:rsidR="002501F4" w:rsidRDefault="000F17FF">
      <w:pPr>
        <w:keepNext/>
        <w:spacing w:before="240" w:after="60" w:line="240" w:lineRule="auto"/>
        <w:jc w:val="left"/>
      </w:pPr>
      <w:r>
        <w:rPr>
          <w:b/>
          <w:sz w:val="20"/>
        </w:rPr>
        <w:t xml:space="preserve">Quadro 3 – </w:t>
      </w:r>
      <w:r>
        <w:rPr>
          <w:sz w:val="20"/>
        </w:rPr>
        <w:t>Cadastro de SKU (dimensão de produto)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948"/>
        <w:gridCol w:w="1587"/>
        <w:gridCol w:w="3969"/>
      </w:tblGrid>
      <w:tr w:rsidR="002501F4">
        <w:tc>
          <w:tcPr>
            <w:tcW w:w="2948" w:type="dxa"/>
            <w:vAlign w:val="center"/>
          </w:tcPr>
          <w:p w:rsidR="002501F4" w:rsidRDefault="000F17FF">
            <w:pPr>
              <w:spacing w:before="40" w:after="40" w:line="240" w:lineRule="auto"/>
              <w:jc w:val="center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1587" w:type="dxa"/>
            <w:vAlign w:val="center"/>
          </w:tcPr>
          <w:p w:rsidR="002501F4" w:rsidRDefault="000F17FF">
            <w:pPr>
              <w:spacing w:before="40" w:after="40" w:line="240" w:lineRule="auto"/>
              <w:jc w:val="center"/>
            </w:pPr>
            <w:r>
              <w:rPr>
                <w:b/>
                <w:sz w:val="18"/>
              </w:rPr>
              <w:t>Tipo</w:t>
            </w:r>
          </w:p>
        </w:tc>
        <w:tc>
          <w:tcPr>
            <w:tcW w:w="3969" w:type="dxa"/>
            <w:vAlign w:val="center"/>
          </w:tcPr>
          <w:p w:rsidR="002501F4" w:rsidRDefault="000F17FF">
            <w:pPr>
              <w:spacing w:before="40" w:after="40" w:line="240" w:lineRule="auto"/>
              <w:jc w:val="center"/>
            </w:pPr>
            <w:r>
              <w:rPr>
                <w:b/>
                <w:sz w:val="18"/>
              </w:rPr>
              <w:t>Descrição</w:t>
            </w:r>
          </w:p>
        </w:tc>
      </w:tr>
      <w:tr w:rsidR="002501F4">
        <w:tc>
          <w:tcPr>
            <w:tcW w:w="2948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sku_id</w:t>
            </w:r>
          </w:p>
        </w:tc>
        <w:tc>
          <w:tcPr>
            <w:tcW w:w="1587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texto (13)</w:t>
            </w:r>
          </w:p>
        </w:tc>
        <w:tc>
          <w:tcPr>
            <w:tcW w:w="3969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Código EAN/GTIN</w:t>
            </w:r>
          </w:p>
        </w:tc>
      </w:tr>
      <w:tr w:rsidR="002501F4">
        <w:tc>
          <w:tcPr>
            <w:tcW w:w="2948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descricao</w:t>
            </w:r>
          </w:p>
        </w:tc>
        <w:tc>
          <w:tcPr>
            <w:tcW w:w="1587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texto (120)</w:t>
            </w:r>
          </w:p>
        </w:tc>
        <w:tc>
          <w:tcPr>
            <w:tcW w:w="3969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Descrição comercial</w:t>
            </w:r>
          </w:p>
        </w:tc>
      </w:tr>
      <w:tr w:rsidR="002501F4">
        <w:tc>
          <w:tcPr>
            <w:tcW w:w="2948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categoria</w:t>
            </w:r>
          </w:p>
        </w:tc>
        <w:tc>
          <w:tcPr>
            <w:tcW w:w="1587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texto (40)</w:t>
            </w:r>
          </w:p>
        </w:tc>
        <w:tc>
          <w:tcPr>
            <w:tcW w:w="3969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Categoria mercadológica</w:t>
            </w:r>
          </w:p>
        </w:tc>
      </w:tr>
      <w:tr w:rsidR="002501F4">
        <w:tc>
          <w:tcPr>
            <w:tcW w:w="2948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curva_abc</w:t>
            </w:r>
          </w:p>
        </w:tc>
        <w:tc>
          <w:tcPr>
            <w:tcW w:w="1587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caractere (1)</w:t>
            </w:r>
          </w:p>
        </w:tc>
        <w:tc>
          <w:tcPr>
            <w:tcW w:w="3969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Classificação A, B ou C por giro</w:t>
            </w:r>
          </w:p>
        </w:tc>
      </w:tr>
      <w:tr w:rsidR="002501F4">
        <w:tc>
          <w:tcPr>
            <w:tcW w:w="2948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comprimento_cm, largura_cm, altura_cm</w:t>
            </w:r>
          </w:p>
        </w:tc>
        <w:tc>
          <w:tcPr>
            <w:tcW w:w="1587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decimal</w:t>
            </w:r>
          </w:p>
        </w:tc>
        <w:tc>
          <w:tcPr>
            <w:tcW w:w="3969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Dimensões da unidade de venda</w:t>
            </w:r>
          </w:p>
        </w:tc>
      </w:tr>
      <w:tr w:rsidR="002501F4">
        <w:tc>
          <w:tcPr>
            <w:tcW w:w="2948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peso_kg</w:t>
            </w:r>
          </w:p>
        </w:tc>
        <w:tc>
          <w:tcPr>
            <w:tcW w:w="1587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decimal</w:t>
            </w:r>
          </w:p>
        </w:tc>
        <w:tc>
          <w:tcPr>
            <w:tcW w:w="3969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Peso bruto unitário</w:t>
            </w:r>
          </w:p>
        </w:tc>
      </w:tr>
      <w:tr w:rsidR="002501F4">
        <w:tc>
          <w:tcPr>
            <w:tcW w:w="2948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tipo_embalagem</w:t>
            </w:r>
          </w:p>
        </w:tc>
        <w:tc>
          <w:tcPr>
            <w:tcW w:w="1587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texto (20)</w:t>
            </w:r>
          </w:p>
        </w:tc>
        <w:tc>
          <w:tcPr>
            <w:tcW w:w="3969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Unidade, caixa fechada ou palete</w:t>
            </w:r>
          </w:p>
        </w:tc>
      </w:tr>
      <w:tr w:rsidR="002501F4">
        <w:tc>
          <w:tcPr>
            <w:tcW w:w="2948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lastRenderedPageBreak/>
              <w:t>giro_medio_dia</w:t>
            </w:r>
          </w:p>
        </w:tc>
        <w:tc>
          <w:tcPr>
            <w:tcW w:w="1587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decimal</w:t>
            </w:r>
          </w:p>
        </w:tc>
        <w:tc>
          <w:tcPr>
            <w:tcW w:w="3969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Média móvel de 90 dias</w:t>
            </w:r>
          </w:p>
        </w:tc>
      </w:tr>
      <w:tr w:rsidR="002501F4">
        <w:tc>
          <w:tcPr>
            <w:tcW w:w="2948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exige_cuidado</w:t>
            </w:r>
          </w:p>
        </w:tc>
        <w:tc>
          <w:tcPr>
            <w:tcW w:w="1587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booleano</w:t>
            </w:r>
          </w:p>
        </w:tc>
        <w:tc>
          <w:tcPr>
            <w:tcW w:w="3969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Item frágil, controlado ou de alto valor</w:t>
            </w:r>
          </w:p>
        </w:tc>
      </w:tr>
    </w:tbl>
    <w:p w:rsidR="002501F4" w:rsidRDefault="000F17FF">
      <w:pPr>
        <w:spacing w:before="60" w:after="240" w:line="240" w:lineRule="auto"/>
        <w:jc w:val="left"/>
      </w:pPr>
      <w:r>
        <w:rPr>
          <w:sz w:val="18"/>
        </w:rPr>
        <w:t>Fonte: o autor (2026).</w:t>
      </w:r>
    </w:p>
    <w:p w:rsidR="002501F4" w:rsidRDefault="000F17FF">
      <w:pPr>
        <w:keepNext/>
        <w:spacing w:before="240" w:after="60" w:line="240" w:lineRule="auto"/>
        <w:jc w:val="left"/>
      </w:pPr>
      <w:r>
        <w:rPr>
          <w:b/>
          <w:sz w:val="20"/>
        </w:rPr>
        <w:t xml:space="preserve">Quadro 4 – </w:t>
      </w:r>
      <w:r>
        <w:rPr>
          <w:sz w:val="20"/>
        </w:rPr>
        <w:t>Mapa de endereçamento (dimensão de localização)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948"/>
        <w:gridCol w:w="1587"/>
        <w:gridCol w:w="3969"/>
      </w:tblGrid>
      <w:tr w:rsidR="002501F4">
        <w:tc>
          <w:tcPr>
            <w:tcW w:w="2948" w:type="dxa"/>
            <w:vAlign w:val="center"/>
          </w:tcPr>
          <w:p w:rsidR="002501F4" w:rsidRDefault="000F17FF">
            <w:pPr>
              <w:spacing w:before="40" w:after="40" w:line="240" w:lineRule="auto"/>
              <w:jc w:val="center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1587" w:type="dxa"/>
            <w:vAlign w:val="center"/>
          </w:tcPr>
          <w:p w:rsidR="002501F4" w:rsidRDefault="000F17FF">
            <w:pPr>
              <w:spacing w:before="40" w:after="40" w:line="240" w:lineRule="auto"/>
              <w:jc w:val="center"/>
            </w:pPr>
            <w:r>
              <w:rPr>
                <w:b/>
                <w:sz w:val="18"/>
              </w:rPr>
              <w:t>Tipo</w:t>
            </w:r>
          </w:p>
        </w:tc>
        <w:tc>
          <w:tcPr>
            <w:tcW w:w="3969" w:type="dxa"/>
            <w:vAlign w:val="center"/>
          </w:tcPr>
          <w:p w:rsidR="002501F4" w:rsidRDefault="000F17FF">
            <w:pPr>
              <w:spacing w:before="40" w:after="40" w:line="240" w:lineRule="auto"/>
              <w:jc w:val="center"/>
            </w:pPr>
            <w:r>
              <w:rPr>
                <w:b/>
                <w:sz w:val="18"/>
              </w:rPr>
              <w:t>Descrição</w:t>
            </w:r>
          </w:p>
        </w:tc>
      </w:tr>
      <w:tr w:rsidR="002501F4">
        <w:tc>
          <w:tcPr>
            <w:tcW w:w="2948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endereco_id</w:t>
            </w:r>
          </w:p>
        </w:tc>
        <w:tc>
          <w:tcPr>
            <w:tcW w:w="1587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texto (12)</w:t>
            </w:r>
          </w:p>
        </w:tc>
        <w:tc>
          <w:tcPr>
            <w:tcW w:w="3969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 xml:space="preserve">Formato </w:t>
            </w:r>
            <w:r>
              <w:rPr>
                <w:sz w:val="18"/>
              </w:rPr>
              <w:t>rua-módulo-nível-posição</w:t>
            </w:r>
          </w:p>
        </w:tc>
      </w:tr>
      <w:tr w:rsidR="002501F4">
        <w:tc>
          <w:tcPr>
            <w:tcW w:w="2948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rua</w:t>
            </w:r>
          </w:p>
        </w:tc>
        <w:tc>
          <w:tcPr>
            <w:tcW w:w="1587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inteiro</w:t>
            </w:r>
          </w:p>
        </w:tc>
        <w:tc>
          <w:tcPr>
            <w:tcW w:w="3969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Corredor de 1 a 42</w:t>
            </w:r>
          </w:p>
        </w:tc>
      </w:tr>
      <w:tr w:rsidR="002501F4">
        <w:tc>
          <w:tcPr>
            <w:tcW w:w="2948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modulo</w:t>
            </w:r>
          </w:p>
        </w:tc>
        <w:tc>
          <w:tcPr>
            <w:tcW w:w="1587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inteiro</w:t>
            </w:r>
          </w:p>
        </w:tc>
        <w:tc>
          <w:tcPr>
            <w:tcW w:w="3969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Posição longitudinal na rua</w:t>
            </w:r>
          </w:p>
        </w:tc>
      </w:tr>
      <w:tr w:rsidR="002501F4">
        <w:tc>
          <w:tcPr>
            <w:tcW w:w="2948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nivel</w:t>
            </w:r>
          </w:p>
        </w:tc>
        <w:tc>
          <w:tcPr>
            <w:tcW w:w="1587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inteiro</w:t>
            </w:r>
          </w:p>
        </w:tc>
        <w:tc>
          <w:tcPr>
            <w:tcW w:w="3969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1 a 3: picking; 4 a 7: aéreo</w:t>
            </w:r>
          </w:p>
        </w:tc>
      </w:tr>
      <w:tr w:rsidR="002501F4">
        <w:tc>
          <w:tcPr>
            <w:tcW w:w="2948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coord_x, coord_y, coord_z</w:t>
            </w:r>
          </w:p>
        </w:tc>
        <w:tc>
          <w:tcPr>
            <w:tcW w:w="1587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decimal</w:t>
            </w:r>
          </w:p>
        </w:tc>
        <w:tc>
          <w:tcPr>
            <w:tcW w:w="3969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Coordenadas cartesianas (m)</w:t>
            </w:r>
          </w:p>
        </w:tc>
      </w:tr>
      <w:tr w:rsidR="002501F4">
        <w:tc>
          <w:tcPr>
            <w:tcW w:w="2948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tipo</w:t>
            </w:r>
          </w:p>
        </w:tc>
        <w:tc>
          <w:tcPr>
            <w:tcW w:w="1587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texto (10)</w:t>
            </w:r>
          </w:p>
        </w:tc>
        <w:tc>
          <w:tcPr>
            <w:tcW w:w="3969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picking ou aereo</w:t>
            </w:r>
          </w:p>
        </w:tc>
      </w:tr>
      <w:tr w:rsidR="002501F4">
        <w:tc>
          <w:tcPr>
            <w:tcW w:w="2948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capacidade_un</w:t>
            </w:r>
          </w:p>
        </w:tc>
        <w:tc>
          <w:tcPr>
            <w:tcW w:w="1587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inteiro</w:t>
            </w:r>
          </w:p>
        </w:tc>
        <w:tc>
          <w:tcPr>
            <w:tcW w:w="3969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Capacidade em unidades</w:t>
            </w:r>
          </w:p>
        </w:tc>
      </w:tr>
      <w:tr w:rsidR="002501F4">
        <w:tc>
          <w:tcPr>
            <w:tcW w:w="2948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sku_alocado</w:t>
            </w:r>
          </w:p>
        </w:tc>
        <w:tc>
          <w:tcPr>
            <w:tcW w:w="1587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texto (13)</w:t>
            </w:r>
          </w:p>
        </w:tc>
        <w:tc>
          <w:tcPr>
            <w:tcW w:w="3969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SKU alocado (chave estrangeira)</w:t>
            </w:r>
          </w:p>
        </w:tc>
      </w:tr>
    </w:tbl>
    <w:p w:rsidR="002501F4" w:rsidRDefault="000F17FF">
      <w:pPr>
        <w:spacing w:before="60" w:after="240" w:line="240" w:lineRule="auto"/>
        <w:jc w:val="left"/>
      </w:pPr>
      <w:r>
        <w:rPr>
          <w:sz w:val="18"/>
        </w:rPr>
        <w:t>Fonte: o autor (2026).</w:t>
      </w:r>
    </w:p>
    <w:p w:rsidR="002501F4" w:rsidRDefault="000F17FF">
      <w:pPr>
        <w:keepNext/>
        <w:spacing w:before="240" w:after="60" w:line="240" w:lineRule="auto"/>
        <w:jc w:val="left"/>
      </w:pPr>
      <w:r>
        <w:rPr>
          <w:b/>
          <w:sz w:val="20"/>
        </w:rPr>
        <w:t xml:space="preserve">Quadro 5 – </w:t>
      </w:r>
      <w:r>
        <w:rPr>
          <w:sz w:val="20"/>
        </w:rPr>
        <w:t>Histórico de linhas de separação (tabela de fatos transacional)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948"/>
        <w:gridCol w:w="1587"/>
        <w:gridCol w:w="3969"/>
      </w:tblGrid>
      <w:tr w:rsidR="002501F4">
        <w:tc>
          <w:tcPr>
            <w:tcW w:w="2948" w:type="dxa"/>
            <w:vAlign w:val="center"/>
          </w:tcPr>
          <w:p w:rsidR="002501F4" w:rsidRDefault="000F17FF">
            <w:pPr>
              <w:spacing w:before="40" w:after="40" w:line="240" w:lineRule="auto"/>
              <w:jc w:val="center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1587" w:type="dxa"/>
            <w:vAlign w:val="center"/>
          </w:tcPr>
          <w:p w:rsidR="002501F4" w:rsidRDefault="000F17FF">
            <w:pPr>
              <w:spacing w:before="40" w:after="40" w:line="240" w:lineRule="auto"/>
              <w:jc w:val="center"/>
            </w:pPr>
            <w:r>
              <w:rPr>
                <w:b/>
                <w:sz w:val="18"/>
              </w:rPr>
              <w:t>Tipo</w:t>
            </w:r>
          </w:p>
        </w:tc>
        <w:tc>
          <w:tcPr>
            <w:tcW w:w="3969" w:type="dxa"/>
            <w:vAlign w:val="center"/>
          </w:tcPr>
          <w:p w:rsidR="002501F4" w:rsidRDefault="000F17FF">
            <w:pPr>
              <w:spacing w:before="40" w:after="40" w:line="240" w:lineRule="auto"/>
              <w:jc w:val="center"/>
            </w:pPr>
            <w:r>
              <w:rPr>
                <w:b/>
                <w:sz w:val="18"/>
              </w:rPr>
              <w:t>Descrição</w:t>
            </w:r>
          </w:p>
        </w:tc>
      </w:tr>
      <w:tr w:rsidR="002501F4">
        <w:tc>
          <w:tcPr>
            <w:tcW w:w="2948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linha_id</w:t>
            </w:r>
          </w:p>
        </w:tc>
        <w:tc>
          <w:tcPr>
            <w:tcW w:w="1587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inteiro</w:t>
            </w:r>
          </w:p>
        </w:tc>
        <w:tc>
          <w:tcPr>
            <w:tcW w:w="3969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Identificador da linha</w:t>
            </w:r>
          </w:p>
        </w:tc>
      </w:tr>
      <w:tr w:rsidR="002501F4">
        <w:tc>
          <w:tcPr>
            <w:tcW w:w="2948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pedido_id</w:t>
            </w:r>
          </w:p>
        </w:tc>
        <w:tc>
          <w:tcPr>
            <w:tcW w:w="1587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inteiro</w:t>
            </w:r>
          </w:p>
        </w:tc>
        <w:tc>
          <w:tcPr>
            <w:tcW w:w="3969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Pedido de origem</w:t>
            </w:r>
          </w:p>
        </w:tc>
      </w:tr>
      <w:tr w:rsidR="002501F4">
        <w:tc>
          <w:tcPr>
            <w:tcW w:w="2948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sku_id, endereco_id</w:t>
            </w:r>
          </w:p>
        </w:tc>
        <w:tc>
          <w:tcPr>
            <w:tcW w:w="1587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texto</w:t>
            </w:r>
          </w:p>
        </w:tc>
        <w:tc>
          <w:tcPr>
            <w:tcW w:w="3969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Item e endereço de coleta</w:t>
            </w:r>
          </w:p>
        </w:tc>
      </w:tr>
      <w:tr w:rsidR="002501F4">
        <w:tc>
          <w:tcPr>
            <w:tcW w:w="2948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quantidade</w:t>
            </w:r>
          </w:p>
        </w:tc>
        <w:tc>
          <w:tcPr>
            <w:tcW w:w="1587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decimal</w:t>
            </w:r>
          </w:p>
        </w:tc>
        <w:tc>
          <w:tcPr>
            <w:tcW w:w="3969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Quantidade solicitada</w:t>
            </w:r>
          </w:p>
        </w:tc>
      </w:tr>
      <w:tr w:rsidR="002501F4">
        <w:tc>
          <w:tcPr>
            <w:tcW w:w="2948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data_hora_pedido</w:t>
            </w:r>
          </w:p>
        </w:tc>
        <w:tc>
          <w:tcPr>
            <w:tcW w:w="1587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w="3969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Entrada do pedido no sistema</w:t>
            </w:r>
          </w:p>
        </w:tc>
      </w:tr>
      <w:tr w:rsidR="002501F4">
        <w:tc>
          <w:tcPr>
            <w:tcW w:w="2948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canal</w:t>
            </w:r>
          </w:p>
        </w:tc>
        <w:tc>
          <w:tcPr>
            <w:tcW w:w="1587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texto (10)</w:t>
            </w:r>
          </w:p>
        </w:tc>
        <w:tc>
          <w:tcPr>
            <w:tcW w:w="3969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loja ou ecommerce</w:t>
            </w:r>
          </w:p>
        </w:tc>
      </w:tr>
      <w:tr w:rsidR="002501F4">
        <w:tc>
          <w:tcPr>
            <w:tcW w:w="2948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destino_id</w:t>
            </w:r>
          </w:p>
        </w:tc>
        <w:tc>
          <w:tcPr>
            <w:tcW w:w="1587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texto (8)</w:t>
            </w:r>
          </w:p>
        </w:tc>
        <w:tc>
          <w:tcPr>
            <w:tcW w:w="3969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 xml:space="preserve">Loja </w:t>
            </w:r>
            <w:r>
              <w:rPr>
                <w:sz w:val="18"/>
              </w:rPr>
              <w:t>destino ou CEP do consumidor</w:t>
            </w:r>
          </w:p>
        </w:tc>
      </w:tr>
      <w:tr w:rsidR="002501F4">
        <w:tc>
          <w:tcPr>
            <w:tcW w:w="2948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onda_id</w:t>
            </w:r>
          </w:p>
        </w:tc>
        <w:tc>
          <w:tcPr>
            <w:tcW w:w="1587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inteiro</w:t>
            </w:r>
          </w:p>
        </w:tc>
        <w:tc>
          <w:tcPr>
            <w:tcW w:w="3969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Onda de separação atribuída</w:t>
            </w:r>
          </w:p>
        </w:tc>
      </w:tr>
    </w:tbl>
    <w:p w:rsidR="002501F4" w:rsidRDefault="000F17FF">
      <w:pPr>
        <w:spacing w:before="60" w:after="240" w:line="240" w:lineRule="auto"/>
        <w:jc w:val="left"/>
      </w:pPr>
      <w:r>
        <w:rPr>
          <w:sz w:val="18"/>
        </w:rPr>
        <w:t>Fonte: o autor (2026).</w:t>
      </w:r>
    </w:p>
    <w:p w:rsidR="002501F4" w:rsidRDefault="000F17FF">
      <w:pPr>
        <w:keepNext/>
        <w:spacing w:before="240" w:after="60" w:line="240" w:lineRule="auto"/>
        <w:jc w:val="left"/>
      </w:pPr>
      <w:r>
        <w:rPr>
          <w:b/>
          <w:sz w:val="20"/>
        </w:rPr>
        <w:t xml:space="preserve">Quadro 6 – </w:t>
      </w:r>
      <w:r>
        <w:rPr>
          <w:sz w:val="20"/>
        </w:rPr>
        <w:t>Log de tarefas do WMS (tabela de fatos operacional)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948"/>
        <w:gridCol w:w="1587"/>
        <w:gridCol w:w="3969"/>
      </w:tblGrid>
      <w:tr w:rsidR="002501F4">
        <w:tc>
          <w:tcPr>
            <w:tcW w:w="2948" w:type="dxa"/>
            <w:vAlign w:val="center"/>
          </w:tcPr>
          <w:p w:rsidR="002501F4" w:rsidRDefault="000F17FF">
            <w:pPr>
              <w:spacing w:before="40" w:after="40" w:line="240" w:lineRule="auto"/>
              <w:jc w:val="center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1587" w:type="dxa"/>
            <w:vAlign w:val="center"/>
          </w:tcPr>
          <w:p w:rsidR="002501F4" w:rsidRDefault="000F17FF">
            <w:pPr>
              <w:spacing w:before="40" w:after="40" w:line="240" w:lineRule="auto"/>
              <w:jc w:val="center"/>
            </w:pPr>
            <w:r>
              <w:rPr>
                <w:b/>
                <w:sz w:val="18"/>
              </w:rPr>
              <w:t>Tipo</w:t>
            </w:r>
          </w:p>
        </w:tc>
        <w:tc>
          <w:tcPr>
            <w:tcW w:w="3969" w:type="dxa"/>
            <w:vAlign w:val="center"/>
          </w:tcPr>
          <w:p w:rsidR="002501F4" w:rsidRDefault="000F17FF">
            <w:pPr>
              <w:spacing w:before="40" w:after="40" w:line="240" w:lineRule="auto"/>
              <w:jc w:val="center"/>
            </w:pPr>
            <w:r>
              <w:rPr>
                <w:b/>
                <w:sz w:val="18"/>
              </w:rPr>
              <w:t>Descrição</w:t>
            </w:r>
          </w:p>
        </w:tc>
      </w:tr>
      <w:tr w:rsidR="002501F4">
        <w:tc>
          <w:tcPr>
            <w:tcW w:w="2948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tarefa_id</w:t>
            </w:r>
          </w:p>
        </w:tc>
        <w:tc>
          <w:tcPr>
            <w:tcW w:w="1587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inteiro</w:t>
            </w:r>
          </w:p>
        </w:tc>
        <w:tc>
          <w:tcPr>
            <w:tcW w:w="3969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Identificador da tarefa</w:t>
            </w:r>
          </w:p>
        </w:tc>
      </w:tr>
      <w:tr w:rsidR="002501F4">
        <w:tc>
          <w:tcPr>
            <w:tcW w:w="2948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operador_id, equipamento_id</w:t>
            </w:r>
          </w:p>
        </w:tc>
        <w:tc>
          <w:tcPr>
            <w:tcW w:w="1587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texto</w:t>
            </w:r>
          </w:p>
        </w:tc>
        <w:tc>
          <w:tcPr>
            <w:tcW w:w="3969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Executante e equipamento</w:t>
            </w:r>
          </w:p>
        </w:tc>
      </w:tr>
      <w:tr w:rsidR="002501F4">
        <w:tc>
          <w:tcPr>
            <w:tcW w:w="2948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tipo_tarefa</w:t>
            </w:r>
          </w:p>
        </w:tc>
        <w:tc>
          <w:tcPr>
            <w:tcW w:w="1587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texto (20)</w:t>
            </w:r>
          </w:p>
        </w:tc>
        <w:tc>
          <w:tcPr>
            <w:tcW w:w="3969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separacao, ressuprimento, armazenagem</w:t>
            </w:r>
          </w:p>
        </w:tc>
      </w:tr>
      <w:tr w:rsidR="002501F4">
        <w:tc>
          <w:tcPr>
            <w:tcW w:w="2948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endereco_origem, endereco_destino</w:t>
            </w:r>
          </w:p>
        </w:tc>
        <w:tc>
          <w:tcPr>
            <w:tcW w:w="1587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texto (12)</w:t>
            </w:r>
          </w:p>
        </w:tc>
        <w:tc>
          <w:tcPr>
            <w:tcW w:w="3969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Início e término</w:t>
            </w:r>
          </w:p>
        </w:tc>
      </w:tr>
      <w:tr w:rsidR="002501F4">
        <w:tc>
          <w:tcPr>
            <w:tcW w:w="2948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ts_inicio, ts_fim</w:t>
            </w:r>
          </w:p>
        </w:tc>
        <w:tc>
          <w:tcPr>
            <w:tcW w:w="1587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w="3969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Marcações do coletor</w:t>
            </w:r>
          </w:p>
        </w:tc>
      </w:tr>
      <w:tr w:rsidR="002501F4">
        <w:tc>
          <w:tcPr>
            <w:tcW w:w="2948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distancia_percorrida_m</w:t>
            </w:r>
          </w:p>
        </w:tc>
        <w:tc>
          <w:tcPr>
            <w:tcW w:w="1587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decimal</w:t>
            </w:r>
          </w:p>
        </w:tc>
        <w:tc>
          <w:tcPr>
            <w:tcW w:w="3969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 xml:space="preserve">Distância medida </w:t>
            </w:r>
            <w:r>
              <w:rPr>
                <w:sz w:val="18"/>
              </w:rPr>
              <w:t>ou estimada</w:t>
            </w:r>
          </w:p>
        </w:tc>
      </w:tr>
      <w:tr w:rsidR="002501F4">
        <w:tc>
          <w:tcPr>
            <w:tcW w:w="2948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status</w:t>
            </w:r>
          </w:p>
        </w:tc>
        <w:tc>
          <w:tcPr>
            <w:tcW w:w="1587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texto (15)</w:t>
            </w:r>
          </w:p>
        </w:tc>
        <w:tc>
          <w:tcPr>
            <w:tcW w:w="3969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concluida, cancelada, interrompida</w:t>
            </w:r>
          </w:p>
        </w:tc>
      </w:tr>
    </w:tbl>
    <w:p w:rsidR="002501F4" w:rsidRDefault="000F17FF">
      <w:pPr>
        <w:spacing w:before="60" w:after="240" w:line="240" w:lineRule="auto"/>
        <w:jc w:val="left"/>
      </w:pPr>
      <w:r>
        <w:rPr>
          <w:sz w:val="18"/>
        </w:rPr>
        <w:t>Fonte: o autor (2026).</w:t>
      </w:r>
    </w:p>
    <w:p w:rsidR="002501F4" w:rsidRDefault="000F17FF">
      <w:pPr>
        <w:keepNext/>
        <w:spacing w:before="240" w:after="60" w:line="240" w:lineRule="auto"/>
        <w:jc w:val="left"/>
      </w:pPr>
      <w:r>
        <w:rPr>
          <w:b/>
          <w:sz w:val="20"/>
        </w:rPr>
        <w:t xml:space="preserve">Quadro 7 – </w:t>
      </w:r>
      <w:r>
        <w:rPr>
          <w:sz w:val="20"/>
        </w:rPr>
        <w:t>Cadastro de operadores e equipamentos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948"/>
        <w:gridCol w:w="1587"/>
        <w:gridCol w:w="3969"/>
      </w:tblGrid>
      <w:tr w:rsidR="002501F4">
        <w:tc>
          <w:tcPr>
            <w:tcW w:w="2948" w:type="dxa"/>
            <w:vAlign w:val="center"/>
          </w:tcPr>
          <w:p w:rsidR="002501F4" w:rsidRDefault="000F17FF">
            <w:pPr>
              <w:spacing w:before="40" w:after="40" w:line="240" w:lineRule="auto"/>
              <w:jc w:val="center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1587" w:type="dxa"/>
            <w:vAlign w:val="center"/>
          </w:tcPr>
          <w:p w:rsidR="002501F4" w:rsidRDefault="000F17FF">
            <w:pPr>
              <w:spacing w:before="40" w:after="40" w:line="240" w:lineRule="auto"/>
              <w:jc w:val="center"/>
            </w:pPr>
            <w:r>
              <w:rPr>
                <w:b/>
                <w:sz w:val="18"/>
              </w:rPr>
              <w:t>Tipo</w:t>
            </w:r>
          </w:p>
        </w:tc>
        <w:tc>
          <w:tcPr>
            <w:tcW w:w="3969" w:type="dxa"/>
            <w:vAlign w:val="center"/>
          </w:tcPr>
          <w:p w:rsidR="002501F4" w:rsidRDefault="000F17FF">
            <w:pPr>
              <w:spacing w:before="40" w:after="40" w:line="240" w:lineRule="auto"/>
              <w:jc w:val="center"/>
            </w:pPr>
            <w:r>
              <w:rPr>
                <w:b/>
                <w:sz w:val="18"/>
              </w:rPr>
              <w:t>Descrição</w:t>
            </w:r>
          </w:p>
        </w:tc>
      </w:tr>
      <w:tr w:rsidR="002501F4">
        <w:tc>
          <w:tcPr>
            <w:tcW w:w="2948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operador_id</w:t>
            </w:r>
          </w:p>
        </w:tc>
        <w:tc>
          <w:tcPr>
            <w:tcW w:w="1587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texto (8)</w:t>
            </w:r>
          </w:p>
        </w:tc>
        <w:tc>
          <w:tcPr>
            <w:tcW w:w="3969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Identificador do separador</w:t>
            </w:r>
          </w:p>
        </w:tc>
      </w:tr>
      <w:tr w:rsidR="002501F4">
        <w:tc>
          <w:tcPr>
            <w:tcW w:w="2948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turno</w:t>
            </w:r>
          </w:p>
        </w:tc>
        <w:tc>
          <w:tcPr>
            <w:tcW w:w="1587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texto (10)</w:t>
            </w:r>
          </w:p>
        </w:tc>
        <w:tc>
          <w:tcPr>
            <w:tcW w:w="3969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Turno de trabalho</w:t>
            </w:r>
          </w:p>
        </w:tc>
      </w:tr>
      <w:tr w:rsidR="002501F4">
        <w:tc>
          <w:tcPr>
            <w:tcW w:w="2948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nivel_experiencia</w:t>
            </w:r>
          </w:p>
        </w:tc>
        <w:tc>
          <w:tcPr>
            <w:tcW w:w="1587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inteiro</w:t>
            </w:r>
          </w:p>
        </w:tc>
        <w:tc>
          <w:tcPr>
            <w:tcW w:w="3969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Tempo de casa (variável preditora)</w:t>
            </w:r>
          </w:p>
        </w:tc>
      </w:tr>
      <w:tr w:rsidR="002501F4">
        <w:tc>
          <w:tcPr>
            <w:tcW w:w="2948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lastRenderedPageBreak/>
              <w:t>equipamento_id, tipo_equipamento</w:t>
            </w:r>
          </w:p>
        </w:tc>
        <w:tc>
          <w:tcPr>
            <w:tcW w:w="1587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texto</w:t>
            </w:r>
          </w:p>
        </w:tc>
        <w:tc>
          <w:tcPr>
            <w:tcW w:w="3969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Transpaleteira, empilhadeira, selecionadora</w:t>
            </w:r>
          </w:p>
        </w:tc>
      </w:tr>
      <w:tr w:rsidR="002501F4">
        <w:tc>
          <w:tcPr>
            <w:tcW w:w="2948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velocidade_media_m_s</w:t>
            </w:r>
          </w:p>
        </w:tc>
        <w:tc>
          <w:tcPr>
            <w:tcW w:w="1587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decimal</w:t>
            </w:r>
          </w:p>
        </w:tc>
        <w:tc>
          <w:tcPr>
            <w:tcW w:w="3969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Velocidade média de deslocamento</w:t>
            </w:r>
          </w:p>
        </w:tc>
      </w:tr>
      <w:tr w:rsidR="002501F4">
        <w:tc>
          <w:tcPr>
            <w:tcW w:w="2948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capacidade_kg, capacidade_volume_m3</w:t>
            </w:r>
          </w:p>
        </w:tc>
        <w:tc>
          <w:tcPr>
            <w:tcW w:w="1587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decimal</w:t>
            </w:r>
          </w:p>
        </w:tc>
        <w:tc>
          <w:tcPr>
            <w:tcW w:w="3969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Limites físicos por viagem</w:t>
            </w:r>
          </w:p>
        </w:tc>
      </w:tr>
      <w:tr w:rsidR="002501F4">
        <w:tc>
          <w:tcPr>
            <w:tcW w:w="2948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disponibilidade</w:t>
            </w:r>
          </w:p>
        </w:tc>
        <w:tc>
          <w:tcPr>
            <w:tcW w:w="1587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booleano</w:t>
            </w:r>
          </w:p>
        </w:tc>
        <w:tc>
          <w:tcPr>
            <w:tcW w:w="3969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Situação operacional</w:t>
            </w:r>
          </w:p>
        </w:tc>
      </w:tr>
    </w:tbl>
    <w:p w:rsidR="002501F4" w:rsidRDefault="000F17FF">
      <w:pPr>
        <w:spacing w:before="60" w:after="240" w:line="240" w:lineRule="auto"/>
        <w:jc w:val="left"/>
      </w:pPr>
      <w:r>
        <w:rPr>
          <w:sz w:val="18"/>
        </w:rPr>
        <w:t>Fonte: o autor (2026).</w:t>
      </w:r>
    </w:p>
    <w:p w:rsidR="002501F4" w:rsidRDefault="000F17FF">
      <w:pPr>
        <w:keepNext/>
        <w:spacing w:before="240" w:after="120"/>
        <w:jc w:val="left"/>
      </w:pPr>
      <w:r>
        <w:rPr>
          <w:b/>
        </w:rPr>
        <w:t>2.3 Obtenção dos dados, formatos e volumetria</w:t>
      </w:r>
    </w:p>
    <w:p w:rsidR="002501F4" w:rsidRDefault="000F17FF">
      <w:pPr>
        <w:spacing w:after="120"/>
        <w:ind w:firstLine="709"/>
      </w:pPr>
      <w:r>
        <w:t xml:space="preserve">Todos os dados são gerados nativamente pela operação, o que elimina a coleta primária e constitui a principal </w:t>
      </w:r>
      <w:r>
        <w:t>vantagem econômica da proposta: o insumo já existe e está subutilizado. O mapa de endereçamento, o histórico de linhas e o log de tarefas provêm do WMS; o cadastro de produtos, do ERP; os dados de operadores, do sistema de gestão de pessoas. A captura no a</w:t>
      </w:r>
      <w:r>
        <w:t>rmazém já ocorre por coletores de radiofrequência, código de barras e, nos itens de maior valor, etiquetas RFID.</w:t>
      </w:r>
    </w:p>
    <w:p w:rsidR="002501F4" w:rsidRDefault="000F17FF">
      <w:pPr>
        <w:spacing w:after="120"/>
        <w:ind w:firstLine="709"/>
      </w:pPr>
      <w:r>
        <w:t xml:space="preserve">A extração recomendada é uma rotina de ETL noturna, incremental por data de modificação, que carrega um </w:t>
      </w:r>
      <w:r>
        <w:rPr>
          <w:i/>
        </w:rPr>
        <w:t>data warehouse</w:t>
      </w:r>
      <w:r>
        <w:t xml:space="preserve"> dimensional em esquema e</w:t>
      </w:r>
      <w:r>
        <w:t>strela — com as tabelas de fatos de linhas e de tarefas ao centro e as dimensões de produto, localização, tempo e operador ao redor. O formato CSV atende às cargas iniciais; para o histórico, recomenda-se Parquet particionado por data. A integração pode us</w:t>
      </w:r>
      <w:r>
        <w:t>ar API REST e, no intercâmbio com fornecedores e transportadores, o padrão EDI (</w:t>
      </w:r>
      <w:r>
        <w:rPr>
          <w:i/>
        </w:rPr>
        <w:t>Electronic Data Interchange</w:t>
      </w:r>
      <w:r>
        <w:t xml:space="preserve">). Em volumetria, o CD gera cerca de 46.000 linhas e 30.000 tarefas por dia — 17 e 11 milhões de registros anuais —, e recomenda-se janela histórica </w:t>
      </w:r>
      <w:r>
        <w:t>de 24 meses, para capturar dois ciclos sazonais.</w:t>
      </w:r>
    </w:p>
    <w:p w:rsidR="002501F4" w:rsidRDefault="000F17FF">
      <w:pPr>
        <w:spacing w:after="120"/>
        <w:ind w:firstLine="709"/>
      </w:pPr>
      <w:r>
        <w:t>O pré-processamento é a etapa mais crítica e a mais subestimada: se os dados de entrada forem ruins, nenhuma técnica de inteligência artificial produzirá resultado confiável. Os tratamentos indispensáveis sã</w:t>
      </w:r>
      <w:r>
        <w:t>o a remoção de valores atípicos de tempo de tarefa decorrentes de pausas e incidentes não registrados, por critério de intervalo interquartílico; a imputação de coordenadas ausentes; a reconciliação entre o endereço registrado na tarefa e o vigente na data</w:t>
      </w:r>
      <w:r>
        <w:t xml:space="preserve">, uma vez que reendereçamentos corrompem análises retroativas ingênuas; e a normalização de unidades. Essa sequência corresponde às etapas de seleção, pré-processamento e transformação do processo de </w:t>
      </w:r>
      <w:r>
        <w:lastRenderedPageBreak/>
        <w:t>KDD (</w:t>
      </w:r>
      <w:r>
        <w:rPr>
          <w:i/>
        </w:rPr>
        <w:t>Knowledge Discovery in Databases</w:t>
      </w:r>
      <w:r>
        <w:t>), no qual a minera</w:t>
      </w:r>
      <w:r>
        <w:t>ção e a otimização representam apenas uma fração do esforço.</w:t>
      </w:r>
    </w:p>
    <w:p w:rsidR="002501F4" w:rsidRDefault="000F17FF">
      <w:pPr>
        <w:keepNext/>
        <w:spacing w:before="360" w:after="120"/>
        <w:jc w:val="left"/>
      </w:pPr>
      <w:r>
        <w:rPr>
          <w:b/>
        </w:rPr>
        <w:t>3 MÉTODOS DE INTELIGÊNCIA ARTIFICIAL PROPOSTOS</w:t>
      </w:r>
    </w:p>
    <w:p w:rsidR="002501F4" w:rsidRDefault="000F17FF">
      <w:pPr>
        <w:spacing w:after="120"/>
        <w:ind w:firstLine="709"/>
      </w:pPr>
      <w:r>
        <w:t xml:space="preserve">Propõem-se duas abordagens complementares, ambas apoiadas em técnicas consolidadas de busca e aprendizado (NORVIG, 2013). A primeira, estritamente </w:t>
      </w:r>
      <w:r>
        <w:t>prescritiva, atua no ciclo operacional e responde a “dada a configuração atual do armazém, qual é a melhor forma de executar a separação de hoje?”. A segunda, preditiva e prescritiva, atua no ciclo tático e responde a uma pergunta anterior: “qual deveria s</w:t>
      </w:r>
      <w:r>
        <w:t>er a configuração do armazém para que a separação de amanhã já nasça mais curta?”.</w:t>
      </w:r>
    </w:p>
    <w:p w:rsidR="002501F4" w:rsidRDefault="000F17FF">
      <w:pPr>
        <w:keepNext/>
        <w:spacing w:before="240" w:after="120"/>
        <w:jc w:val="left"/>
      </w:pPr>
      <w:r>
        <w:rPr>
          <w:b/>
        </w:rPr>
        <w:t>3.1 Abordagem A — meta-heurísticas bioinspiradas para lotes e roteirização</w:t>
      </w:r>
    </w:p>
    <w:p w:rsidR="002501F4" w:rsidRDefault="000F17FF">
      <w:pPr>
        <w:keepNext/>
        <w:spacing w:before="240" w:after="120"/>
        <w:jc w:val="left"/>
      </w:pPr>
      <w:r>
        <w:t>3.1.1 Justificativa da escolha</w:t>
      </w:r>
    </w:p>
    <w:p w:rsidR="002501F4" w:rsidRDefault="000F17FF">
      <w:pPr>
        <w:spacing w:after="120"/>
        <w:ind w:firstLine="709"/>
      </w:pPr>
      <w:r>
        <w:t xml:space="preserve">As heurísticas construtivas clássicas de roteirização — </w:t>
      </w:r>
      <w:r>
        <w:rPr>
          <w:i/>
        </w:rPr>
        <w:t>S-shape</w:t>
      </w:r>
      <w:r>
        <w:t xml:space="preserve">, </w:t>
      </w:r>
      <w:r>
        <w:rPr>
          <w:i/>
        </w:rPr>
        <w:t>re</w:t>
      </w:r>
      <w:r>
        <w:rPr>
          <w:i/>
        </w:rPr>
        <w:t>turn</w:t>
      </w:r>
      <w:r>
        <w:t xml:space="preserve">, </w:t>
      </w:r>
      <w:r>
        <w:rPr>
          <w:i/>
        </w:rPr>
        <w:t>midpoint</w:t>
      </w:r>
      <w:r>
        <w:t xml:space="preserve">, </w:t>
      </w:r>
      <w:r>
        <w:rPr>
          <w:i/>
        </w:rPr>
        <w:t>largest gap</w:t>
      </w:r>
      <w:r>
        <w:t xml:space="preserve"> e </w:t>
      </w:r>
      <w:r>
        <w:rPr>
          <w:i/>
        </w:rPr>
        <w:t>combined</w:t>
      </w:r>
      <w:r>
        <w:t xml:space="preserve"> — têm custo computacional desprezível e são adequadas a layouts de bloco único com armazenagem aleatória, mas degradam em armazéns com múltiplos corredores transversais e armazenagem orientada por classe, em que a dis</w:t>
      </w:r>
      <w:r>
        <w:t>tância obtida pode superar consideravelmente a da solução ótima. Com 42 ruas e endereçamento por categoria mercadológica, o CD analisado situa-se justamente nessa faixa.</w:t>
      </w:r>
    </w:p>
    <w:p w:rsidR="002501F4" w:rsidRDefault="000F17FF">
      <w:pPr>
        <w:spacing w:after="120"/>
        <w:ind w:firstLine="709"/>
      </w:pPr>
      <w:r>
        <w:t>As meta-heurísticas, ao contrário, exploram o espaço de soluções sem enumerá-lo. A oti</w:t>
      </w:r>
      <w:r>
        <w:t>mização por colônia de formigas (ACO), formalizada por Dorigo e Stützle (2004), é particularmente adequada por três razões: constrói soluções de forma incremental, permitindo interromper a busca a qualquer momento e ainda dispor de rota válida; mantém memó</w:t>
      </w:r>
      <w:r>
        <w:t>ria adaptativa na forma de trilhas de feromônio, de modo que a qualidade melhora ao longo de execuções sucessivas sobre o mesmo layout; e reage bem a alterações em tempo real, pois a estrutura de feromônio acumulada dispensa a reotimização a partir do zero</w:t>
      </w:r>
      <w:r>
        <w:t>.</w:t>
      </w:r>
    </w:p>
    <w:p w:rsidR="002501F4" w:rsidRDefault="000F17FF">
      <w:pPr>
        <w:spacing w:after="120"/>
        <w:ind w:firstLine="709"/>
      </w:pPr>
      <w:r>
        <w:lastRenderedPageBreak/>
        <w:t xml:space="preserve">Essa adequação é respaldada pela literatura: De Santis </w:t>
      </w:r>
      <w:r>
        <w:rPr>
          <w:i/>
        </w:rPr>
        <w:t>et al.</w:t>
      </w:r>
      <w:r>
        <w:t xml:space="preserve"> (2018) propuseram o algoritmo FW-ACO, que combina Floyd–Warshall com colônia de formigas para minimizar a distância percorrida em armazéns manuais, obtendo desempenho superior ao das heurístic</w:t>
      </w:r>
      <w:r>
        <w:t xml:space="preserve">as tradicionais, e trabalhos posteriores estenderam a formulação para múltiplos separadores com consideração explícita do congestionamento. O algoritmo genético (AG), por sua vez, atua na formação de lotes, para a qual sua representação por cromossomos de </w:t>
      </w:r>
      <w:r>
        <w:t>atribuição é naturalmente adequada.</w:t>
      </w:r>
    </w:p>
    <w:p w:rsidR="002501F4" w:rsidRDefault="000F17FF">
      <w:pPr>
        <w:keepNext/>
        <w:spacing w:before="240" w:after="120"/>
        <w:jc w:val="left"/>
      </w:pPr>
      <w:r>
        <w:t>3.1.2 Proposta metodológica</w:t>
      </w:r>
    </w:p>
    <w:p w:rsidR="002501F4" w:rsidRDefault="000F17FF">
      <w:pPr>
        <w:spacing w:after="120"/>
        <w:ind w:firstLine="709"/>
      </w:pPr>
      <w:r>
        <w:rPr>
          <w:b/>
        </w:rPr>
        <w:t>Etapas 1 e 2 — Grafo, matriz de distâncias e formação de lotes.</w:t>
      </w:r>
      <w:r>
        <w:t xml:space="preserve"> O armazém é representado como grafo não direcionado G(V, E), em que V reúne os endereços de </w:t>
      </w:r>
      <w:r>
        <w:rPr>
          <w:i/>
        </w:rPr>
        <w:t>picking</w:t>
      </w:r>
      <w:r>
        <w:t xml:space="preserve"> ativos e a doca, e E os trec</w:t>
      </w:r>
      <w:r>
        <w:t>hos de corredor ponderados pela distância real. Aplica-se Floyd–Warshall para obter a distância mínima entre todos os pares de vértices; por ter complexidade O(n³), o cálculo roda fora de linha e é refeito apenas quando layout ou endereçamento mudam. Sobre</w:t>
      </w:r>
      <w:r>
        <w:t xml:space="preserve"> essa matriz, um algoritmo genético resolve a formação de lotes: o cromossomo é um vetor de inteiros em que a posição i indica o lote atribuído ao pedido i, e a função de aptidão soma a distância total estimada às penalidades por violação de capacidade e p</w:t>
      </w:r>
      <w:r>
        <w:t xml:space="preserve">or descumprimento da janela de corte. Empregam-se seleção por torneio, </w:t>
      </w:r>
      <w:r>
        <w:rPr>
          <w:i/>
        </w:rPr>
        <w:t>crossover</w:t>
      </w:r>
      <w:r>
        <w:t xml:space="preserve"> uniforme, mutação por realocação de pedido e elitismo.</w:t>
      </w:r>
    </w:p>
    <w:p w:rsidR="002501F4" w:rsidRDefault="000F17FF">
      <w:pPr>
        <w:spacing w:after="120"/>
        <w:ind w:firstLine="709"/>
      </w:pPr>
      <w:r>
        <w:rPr>
          <w:b/>
        </w:rPr>
        <w:t>Etapa 3 — Roteirização por colônia de formigas.</w:t>
      </w:r>
      <w:r>
        <w:t xml:space="preserve"> Para cada lote, m formigas artificiais constroem rotas escolhendo o próx</w:t>
      </w:r>
      <w:r>
        <w:t xml:space="preserve">imo endereço com probabilidade proporcional ao produto τ^α · η^β, em que τ é a intensidade de feromônio na aresta, η é o inverso da distância e os expoentes α e β ponderam memória coletiva e visibilidade local. A cada iteração o feromônio evapora à taxa ρ </w:t>
      </w:r>
      <w:r>
        <w:t>e é reforçado nas arestas das melhores rotas.</w:t>
      </w:r>
    </w:p>
    <w:p w:rsidR="002501F4" w:rsidRDefault="000F17FF">
      <w:pPr>
        <w:spacing w:after="120"/>
        <w:ind w:firstLine="709"/>
      </w:pPr>
      <w:r>
        <w:rPr>
          <w:b/>
        </w:rPr>
        <w:t>Etapas 4 e 5 — Congestionamento e reotimização.</w:t>
      </w:r>
      <w:r>
        <w:t xml:space="preserve"> A ocupação prevista de cada trecho é estimada a partir das tarefas já designadas para a mesma janela de tempo; trechos acima de um limiar recebem penalização dinâ</w:t>
      </w:r>
      <w:r>
        <w:t xml:space="preserve">mica no feromônio, dispersando os separadores por corredores distintos. A cada evento relevante — pedido urgente, cancelamento, indisponibilidade de equipamento — dispara-se nova </w:t>
      </w:r>
      <w:r>
        <w:lastRenderedPageBreak/>
        <w:t>execução a partir da matriz de feromônio corrente, garantindo resposta em seg</w:t>
      </w:r>
      <w:r>
        <w:t>undos; ao final da onda, as distâncias reais medidas pelos coletores realimentam a recalibração de α, β e ρ.</w:t>
      </w:r>
    </w:p>
    <w:p w:rsidR="002501F4" w:rsidRDefault="000F17FF">
      <w:pPr>
        <w:keepNext/>
        <w:spacing w:before="240" w:after="120"/>
        <w:jc w:val="left"/>
      </w:pPr>
      <w:r>
        <w:rPr>
          <w:b/>
        </w:rPr>
        <w:t>3.2 Abordagem B — aprendizado de máquina e endereçamento dinâmico</w:t>
      </w:r>
    </w:p>
    <w:p w:rsidR="002501F4" w:rsidRDefault="000F17FF">
      <w:pPr>
        <w:keepNext/>
        <w:spacing w:before="240" w:after="120"/>
        <w:jc w:val="left"/>
      </w:pPr>
      <w:r>
        <w:t>3.2.1 Justificativa da escolha</w:t>
      </w:r>
    </w:p>
    <w:p w:rsidR="002501F4" w:rsidRDefault="000F17FF">
      <w:pPr>
        <w:spacing w:after="120"/>
        <w:ind w:firstLine="709"/>
      </w:pPr>
      <w:r>
        <w:t>Enquanto a Abordagem A otimiza a rota dado um ende</w:t>
      </w:r>
      <w:r>
        <w:t>reçamento, a Abordagem B ataca a causa a montante. Se os itens de maior giro estiverem próximos à doca e os frequentemente pedidos em conjunto estiverem próximos entre si, a rota já nasce curta, e o ganho passa a ser estrutural e permanente, independenteme</w:t>
      </w:r>
      <w:r>
        <w:t>nte da qualidade do roteirizador. Trata-se de resolver o SLAP, e não o PRP.</w:t>
      </w:r>
    </w:p>
    <w:p w:rsidR="002501F4" w:rsidRDefault="000F17FF">
      <w:pPr>
        <w:spacing w:after="120"/>
        <w:ind w:firstLine="709"/>
      </w:pPr>
      <w:r>
        <w:t>O elo entre previsão e endereçamento é direto: a posição ótima de um SKU depende do seu giro futuro, não do passado. Um item de curva C durante onze meses pode ser de curva A na se</w:t>
      </w:r>
      <w:r>
        <w:t>mana que antecede uma data comemorativa, e a classificação ABC anual praticada hoje no CD é incapaz de acompanhar esse fenômeno.</w:t>
      </w:r>
    </w:p>
    <w:p w:rsidR="002501F4" w:rsidRDefault="000F17FF">
      <w:pPr>
        <w:spacing w:after="120"/>
        <w:ind w:firstLine="709"/>
      </w:pPr>
      <w:r>
        <w:t>A escolha dos métodos de previsão precisa considerar a heterogeneidade do catálogo: os 22.000 SKUs não se comportam da mesma fo</w:t>
      </w:r>
      <w:r>
        <w:t>rma — alguns têm demanda regular, outros são intermitentes, com longos períodos de demanda nula —, e aplicar um único método a todos é erro recorrente e causa frequente de baixa acurácia. Syntetos e Boylan (2005) propõem classificar as séries por duas métr</w:t>
      </w:r>
      <w:r>
        <w:t>icas: o ADI (</w:t>
      </w:r>
      <w:r>
        <w:rPr>
          <w:i/>
        </w:rPr>
        <w:t>Average Inter-Demand Interval</w:t>
      </w:r>
      <w:r>
        <w:t xml:space="preserve">), medida de intermitência, e o CV² (coeficiente de variação ao quadrado das demandas não nulas), medida da variabilidade do tamanho. Disso resultam quatro categorias — </w:t>
      </w:r>
      <w:r>
        <w:rPr>
          <w:i/>
        </w:rPr>
        <w:t>smooth</w:t>
      </w:r>
      <w:r>
        <w:t xml:space="preserve">, </w:t>
      </w:r>
      <w:r>
        <w:rPr>
          <w:i/>
        </w:rPr>
        <w:t>erratic</w:t>
      </w:r>
      <w:r>
        <w:t xml:space="preserve">, </w:t>
      </w:r>
      <w:r>
        <w:rPr>
          <w:i/>
        </w:rPr>
        <w:t>lumpy</w:t>
      </w:r>
      <w:r>
        <w:t xml:space="preserve"> e </w:t>
      </w:r>
      <w:r>
        <w:rPr>
          <w:i/>
        </w:rPr>
        <w:t>slow-moving</w:t>
      </w:r>
      <w:r>
        <w:t xml:space="preserve"> —, cada </w:t>
      </w:r>
      <w:r>
        <w:t>uma com método de previsão recomendado.</w:t>
      </w:r>
    </w:p>
    <w:p w:rsidR="002501F4" w:rsidRDefault="000F17FF">
      <w:pPr>
        <w:keepNext/>
        <w:spacing w:before="240" w:after="120"/>
        <w:jc w:val="left"/>
      </w:pPr>
      <w:r>
        <w:t>3.2.2 Proposta metodológica</w:t>
      </w:r>
    </w:p>
    <w:p w:rsidR="002501F4" w:rsidRDefault="000F17FF">
      <w:pPr>
        <w:spacing w:after="120"/>
        <w:ind w:firstLine="709"/>
      </w:pPr>
      <w:r>
        <w:rPr>
          <w:b/>
        </w:rPr>
        <w:t>Etapas 1 e 2 — Classificação do padrão de demanda e previsão.</w:t>
      </w:r>
      <w:r>
        <w:t xml:space="preserve"> Calculam-se ADI e CV² de cada SKU sobre a janela de 24 meses, segmentando o catálogo nos quatro quadrantes — etapa de baixo cu</w:t>
      </w:r>
      <w:r>
        <w:t xml:space="preserve">sto que, isoladamente, já revela quais itens são </w:t>
      </w:r>
      <w:r>
        <w:lastRenderedPageBreak/>
        <w:t xml:space="preserve">inerentemente imprevisíveis e exigem estoque de segurança em vez de previsão refinada. Às séries </w:t>
      </w:r>
      <w:r>
        <w:rPr>
          <w:i/>
        </w:rPr>
        <w:t>smooth</w:t>
      </w:r>
      <w:r>
        <w:t xml:space="preserve"> e </w:t>
      </w:r>
      <w:r>
        <w:rPr>
          <w:i/>
        </w:rPr>
        <w:t>erratic</w:t>
      </w:r>
      <w:r>
        <w:t xml:space="preserve"> aplicam-se o alisamento exponencial com correção de tendência e sazonalidade (métodos de Holt e de Winter) ou modelos ARIMA e SARIMA (MORETTIN, 2018); às séries </w:t>
      </w:r>
      <w:r>
        <w:rPr>
          <w:i/>
        </w:rPr>
        <w:t>lumpy</w:t>
      </w:r>
      <w:r>
        <w:t xml:space="preserve"> e </w:t>
      </w:r>
      <w:r>
        <w:rPr>
          <w:i/>
        </w:rPr>
        <w:t>slow-moving</w:t>
      </w:r>
      <w:r>
        <w:t xml:space="preserve">, o método de Croston (1972) e sua variante SBA, que corrigem o viés que o </w:t>
      </w:r>
      <w:r>
        <w:t>alisamento exponencial produz em séries com muitos valores nulos. A escolha final é feita por erro acumulado em janela de validação, e não por preferência a priori.</w:t>
      </w:r>
    </w:p>
    <w:p w:rsidR="002501F4" w:rsidRDefault="000F17FF">
      <w:pPr>
        <w:spacing w:after="120"/>
        <w:ind w:firstLine="709"/>
      </w:pPr>
      <w:r>
        <w:rPr>
          <w:b/>
        </w:rPr>
        <w:t>Etapa 3 — Curva ABC dinâmica e afinidade entre itens.</w:t>
      </w:r>
      <w:r>
        <w:t xml:space="preserve"> A classificação ABC é recalculada a c</w:t>
      </w:r>
      <w:r>
        <w:t xml:space="preserve">ada período de sazonalidade com base na demanda </w:t>
      </w:r>
      <w:r>
        <w:rPr>
          <w:b/>
        </w:rPr>
        <w:t>prevista</w:t>
      </w:r>
      <w:r>
        <w:t>, e não na realizada. Em paralelo, aplica-se mineração de regras de associação por FP-Growth sobre o histórico de pedidos, identificando SKUs frequentemente separados na mesma viagem, e agrupamento po</w:t>
      </w:r>
      <w:r>
        <w:t>r k-médias sobre giro previsto, volume, peso e frequência de coocorrência, formando famílias de armazenagem.</w:t>
      </w:r>
    </w:p>
    <w:p w:rsidR="002501F4" w:rsidRDefault="000F17FF">
      <w:pPr>
        <w:spacing w:after="120"/>
        <w:ind w:firstLine="709"/>
      </w:pPr>
      <w:r>
        <w:rPr>
          <w:b/>
        </w:rPr>
        <w:t>Etapas 4 e 5 — Realocação de endereços e predição do tempo de tarefa.</w:t>
      </w:r>
      <w:r>
        <w:t xml:space="preserve"> O reendereçamento é formulado como problema de designação e resolvido por pro</w:t>
      </w:r>
      <w:r>
        <w:t xml:space="preserve">gramação linear inteira (STEIN </w:t>
      </w:r>
      <w:r>
        <w:rPr>
          <w:i/>
        </w:rPr>
        <w:t>et al.</w:t>
      </w:r>
      <w:r>
        <w:t>, 2018), minimizando a soma das distâncias esperadas — distância à doca ponderada pela demanda prevista do SKU alocado —, sujeito a capacidade volumétrica, limite de peso por nível, compatibilidade de manuseio, proximid</w:t>
      </w:r>
      <w:r>
        <w:t>ade das famílias e um teto de realocações por ciclo, que garante que o ganho supere o custo físico da movimentação. Por fim, um modelo de regressão (</w:t>
      </w:r>
      <w:r>
        <w:rPr>
          <w:i/>
        </w:rPr>
        <w:t>Random Forest</w:t>
      </w:r>
      <w:r>
        <w:t xml:space="preserve"> ou </w:t>
      </w:r>
      <w:r>
        <w:rPr>
          <w:i/>
        </w:rPr>
        <w:t>Gradient Boosting</w:t>
      </w:r>
      <w:r>
        <w:t>) treinado sobre o log de tarefas prevê o tempo de execução a partir da d</w:t>
      </w:r>
      <w:r>
        <w:t>istância, do número de linhas, do equipamento, da experiência do operador e da ocupação do corredor, alimentando o dimensionamento da equipe por onda.</w:t>
      </w:r>
    </w:p>
    <w:p w:rsidR="002501F4" w:rsidRDefault="000F17FF">
      <w:pPr>
        <w:keepNext/>
        <w:spacing w:before="240" w:after="120"/>
        <w:jc w:val="left"/>
      </w:pPr>
      <w:r>
        <w:rPr>
          <w:b/>
        </w:rPr>
        <w:t>3.3 Comparação e integração das abordagens</w:t>
      </w:r>
    </w:p>
    <w:p w:rsidR="002501F4" w:rsidRDefault="000F17FF">
      <w:pPr>
        <w:spacing w:after="120"/>
        <w:ind w:firstLine="709"/>
      </w:pPr>
      <w:r>
        <w:t>O Quadro 8 confronta as duas abordagens segundo critérios rele</w:t>
      </w:r>
      <w:r>
        <w:t>vantes para a decisão de implantação. A comparação não visa eleger uma vencedora: elas atacam subproblemas diferentes e operam em horizontes distintos.</w:t>
      </w:r>
    </w:p>
    <w:p w:rsidR="002501F4" w:rsidRDefault="000F17FF">
      <w:pPr>
        <w:keepNext/>
        <w:spacing w:before="240" w:after="60" w:line="240" w:lineRule="auto"/>
        <w:jc w:val="left"/>
      </w:pPr>
      <w:r>
        <w:rPr>
          <w:b/>
          <w:sz w:val="20"/>
        </w:rPr>
        <w:lastRenderedPageBreak/>
        <w:t xml:space="preserve">Quadro 8 – </w:t>
      </w:r>
      <w:r>
        <w:rPr>
          <w:sz w:val="20"/>
        </w:rPr>
        <w:t>Comparação entre as abordagens propostas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928"/>
        <w:gridCol w:w="3005"/>
        <w:gridCol w:w="3572"/>
      </w:tblGrid>
      <w:tr w:rsidR="002501F4">
        <w:tc>
          <w:tcPr>
            <w:tcW w:w="1928" w:type="dxa"/>
            <w:vAlign w:val="center"/>
          </w:tcPr>
          <w:p w:rsidR="002501F4" w:rsidRDefault="000F17FF">
            <w:pPr>
              <w:spacing w:before="40" w:after="40" w:line="240" w:lineRule="auto"/>
              <w:jc w:val="center"/>
            </w:pPr>
            <w:r>
              <w:rPr>
                <w:b/>
                <w:sz w:val="18"/>
              </w:rPr>
              <w:t>Critério</w:t>
            </w:r>
          </w:p>
        </w:tc>
        <w:tc>
          <w:tcPr>
            <w:tcW w:w="3005" w:type="dxa"/>
            <w:vAlign w:val="center"/>
          </w:tcPr>
          <w:p w:rsidR="002501F4" w:rsidRDefault="000F17FF">
            <w:pPr>
              <w:spacing w:before="40" w:after="40" w:line="240" w:lineRule="auto"/>
              <w:jc w:val="center"/>
            </w:pPr>
            <w:r>
              <w:rPr>
                <w:b/>
                <w:sz w:val="18"/>
              </w:rPr>
              <w:t>Abordagem A (AG + ACO)</w:t>
            </w:r>
          </w:p>
        </w:tc>
        <w:tc>
          <w:tcPr>
            <w:tcW w:w="3572" w:type="dxa"/>
            <w:vAlign w:val="center"/>
          </w:tcPr>
          <w:p w:rsidR="002501F4" w:rsidRDefault="000F17FF">
            <w:pPr>
              <w:spacing w:before="40" w:after="40" w:line="240" w:lineRule="auto"/>
              <w:jc w:val="center"/>
            </w:pPr>
            <w:r>
              <w:rPr>
                <w:b/>
                <w:sz w:val="18"/>
              </w:rPr>
              <w:t xml:space="preserve">Abordagem B </w:t>
            </w:r>
            <w:r>
              <w:rPr>
                <w:b/>
                <w:sz w:val="18"/>
              </w:rPr>
              <w:t>(aprendizado de máquina)</w:t>
            </w:r>
          </w:p>
        </w:tc>
      </w:tr>
      <w:tr w:rsidR="002501F4">
        <w:tc>
          <w:tcPr>
            <w:tcW w:w="1928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Subproblema atacado</w:t>
            </w:r>
          </w:p>
        </w:tc>
        <w:tc>
          <w:tcPr>
            <w:tcW w:w="3005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OBP e PRP</w:t>
            </w:r>
          </w:p>
        </w:tc>
        <w:tc>
          <w:tcPr>
            <w:tcW w:w="3572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SLAP e designação de tarefas</w:t>
            </w:r>
          </w:p>
        </w:tc>
      </w:tr>
      <w:tr w:rsidR="002501F4">
        <w:tc>
          <w:tcPr>
            <w:tcW w:w="1928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Natureza</w:t>
            </w:r>
          </w:p>
        </w:tc>
        <w:tc>
          <w:tcPr>
            <w:tcW w:w="3005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Prescritiva (otimização)</w:t>
            </w:r>
          </w:p>
        </w:tc>
        <w:tc>
          <w:tcPr>
            <w:tcW w:w="3572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Preditiva e prescritiva</w:t>
            </w:r>
          </w:p>
        </w:tc>
      </w:tr>
      <w:tr w:rsidR="002501F4">
        <w:tc>
          <w:tcPr>
            <w:tcW w:w="1928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Técnicas principais</w:t>
            </w:r>
          </w:p>
        </w:tc>
        <w:tc>
          <w:tcPr>
            <w:tcW w:w="3005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Algoritmo genético, colônia de formigas, Floyd–Warshall</w:t>
            </w:r>
          </w:p>
        </w:tc>
        <w:tc>
          <w:tcPr>
            <w:tcW w:w="3572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Croston/SBA, Holt-Winters, ARIMA, k</w:t>
            </w:r>
            <w:r>
              <w:rPr>
                <w:sz w:val="18"/>
              </w:rPr>
              <w:t>-médias, FP-Growth, programação inteira</w:t>
            </w:r>
          </w:p>
        </w:tc>
      </w:tr>
      <w:tr w:rsidR="002501F4">
        <w:tc>
          <w:tcPr>
            <w:tcW w:w="1928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Horizonte de decisão</w:t>
            </w:r>
          </w:p>
        </w:tc>
        <w:tc>
          <w:tcPr>
            <w:tcW w:w="3005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Operacional (por onda, segundos)</w:t>
            </w:r>
          </w:p>
        </w:tc>
        <w:tc>
          <w:tcPr>
            <w:tcW w:w="3572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Tático (sazonal, horas)</w:t>
            </w:r>
          </w:p>
        </w:tc>
      </w:tr>
      <w:tr w:rsidR="002501F4">
        <w:tc>
          <w:tcPr>
            <w:tcW w:w="1928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Dados exigidos</w:t>
            </w:r>
          </w:p>
        </w:tc>
        <w:tc>
          <w:tcPr>
            <w:tcW w:w="3005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Endereçamento, pedidos da onda, equipamentos</w:t>
            </w:r>
          </w:p>
        </w:tc>
        <w:tc>
          <w:tcPr>
            <w:tcW w:w="3572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Histórico de 24 meses de linhas e tarefas</w:t>
            </w:r>
          </w:p>
        </w:tc>
      </w:tr>
      <w:tr w:rsidR="002501F4">
        <w:tc>
          <w:tcPr>
            <w:tcW w:w="1928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Ganho esperado</w:t>
            </w:r>
          </w:p>
        </w:tc>
        <w:tc>
          <w:tcPr>
            <w:tcW w:w="3005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 xml:space="preserve">Imediato e </w:t>
            </w:r>
            <w:r>
              <w:rPr>
                <w:sz w:val="18"/>
              </w:rPr>
              <w:t>reversível</w:t>
            </w:r>
          </w:p>
        </w:tc>
        <w:tc>
          <w:tcPr>
            <w:tcW w:w="3572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Estrutural e permanente</w:t>
            </w:r>
          </w:p>
        </w:tc>
      </w:tr>
      <w:tr w:rsidR="002501F4">
        <w:tc>
          <w:tcPr>
            <w:tcW w:w="1928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Complexidade de implantação</w:t>
            </w:r>
          </w:p>
        </w:tc>
        <w:tc>
          <w:tcPr>
            <w:tcW w:w="3005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Média (integração em tempo real com o WMS)</w:t>
            </w:r>
          </w:p>
        </w:tc>
        <w:tc>
          <w:tcPr>
            <w:tcW w:w="3572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Alta (governança de dados e movimentação física de estoque)</w:t>
            </w:r>
          </w:p>
        </w:tc>
      </w:tr>
      <w:tr w:rsidR="002501F4">
        <w:tc>
          <w:tcPr>
            <w:tcW w:w="1928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Interpretabilidade</w:t>
            </w:r>
          </w:p>
        </w:tc>
        <w:tc>
          <w:tcPr>
            <w:tcW w:w="3005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Baixa (entrega a rota, não a explicação)</w:t>
            </w:r>
          </w:p>
        </w:tc>
        <w:tc>
          <w:tcPr>
            <w:tcW w:w="3572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 xml:space="preserve">Média a alta (curva ABC e </w:t>
            </w:r>
            <w:r>
              <w:rPr>
                <w:sz w:val="18"/>
              </w:rPr>
              <w:t>regras de associação são auditáveis)</w:t>
            </w:r>
          </w:p>
        </w:tc>
      </w:tr>
    </w:tbl>
    <w:p w:rsidR="002501F4" w:rsidRDefault="000F17FF">
      <w:pPr>
        <w:spacing w:before="60" w:after="240" w:line="240" w:lineRule="auto"/>
        <w:jc w:val="left"/>
      </w:pPr>
      <w:r>
        <w:rPr>
          <w:sz w:val="18"/>
        </w:rPr>
        <w:t>Fonte: o autor (2026).</w:t>
      </w:r>
    </w:p>
    <w:p w:rsidR="002501F4" w:rsidRDefault="000F17FF">
      <w:pPr>
        <w:keepNext/>
        <w:spacing w:before="240" w:after="60" w:line="240" w:lineRule="auto"/>
        <w:jc w:val="center"/>
      </w:pPr>
      <w:r>
        <w:rPr>
          <w:b/>
          <w:sz w:val="20"/>
        </w:rPr>
        <w:t xml:space="preserve">Figura 2 – </w:t>
      </w:r>
      <w:r>
        <w:rPr>
          <w:sz w:val="20"/>
        </w:rPr>
        <w:t>Framework integrado das abordagens propostas</w:t>
      </w:r>
    </w:p>
    <w:p w:rsidR="002501F4" w:rsidRDefault="000F17FF">
      <w:pPr>
        <w:spacing w:after="60"/>
        <w:jc w:val="center"/>
      </w:pPr>
      <w:r>
        <w:rPr>
          <w:noProof/>
          <w:lang w:val="pt-BR" w:eastAsia="pt-BR"/>
        </w:rPr>
        <w:drawing>
          <wp:inline distT="0" distB="0" distL="0" distR="0">
            <wp:extent cx="5580000" cy="31241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framework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2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1F4" w:rsidRDefault="000F17FF">
      <w:pPr>
        <w:spacing w:after="240" w:line="240" w:lineRule="auto"/>
        <w:jc w:val="center"/>
      </w:pPr>
      <w:r>
        <w:rPr>
          <w:sz w:val="18"/>
        </w:rPr>
        <w:t>Fonte: o autor (2026).</w:t>
      </w:r>
    </w:p>
    <w:p w:rsidR="002501F4" w:rsidRDefault="000F17FF">
      <w:pPr>
        <w:spacing w:after="120"/>
        <w:ind w:firstLine="709"/>
      </w:pPr>
      <w:r>
        <w:t xml:space="preserve">Como mostra a Figura 2, as abordagens operam em frequências distintas e se alimentam mutuamente. A Abordagem B </w:t>
      </w:r>
      <w:r>
        <w:t>entrega um mapa de endereçamento atualizado, que passa a ser o insumo da matriz de distâncias consumida pela Abordagem A, executada a cada onda. Os resultados reais realimentam ambas: tempos e distâncias efetivos recalibram os parâmetros do ACO e do AG, en</w:t>
      </w:r>
      <w:r>
        <w:t xml:space="preserve">quanto a demanda </w:t>
      </w:r>
      <w:r>
        <w:lastRenderedPageBreak/>
        <w:t>realizada alimenta a próxima rodada de previsão. É um ciclo fechado de melhoria contínua, não um projeto com data de encerramento.</w:t>
      </w:r>
    </w:p>
    <w:p w:rsidR="002501F4" w:rsidRDefault="000F17FF">
      <w:pPr>
        <w:spacing w:after="120"/>
        <w:ind w:firstLine="709"/>
      </w:pPr>
      <w:r>
        <w:t>Essa arquitetura sustenta-se sobre o processo de KDD: a seleção e o pré-processamento descritos na Seção 2.3</w:t>
      </w:r>
      <w:r>
        <w:t xml:space="preserve"> antecedem qualquer técnica; a mineração e a otimização correspondem às etapas de cada abordagem; e a interpretação dos resultados e sua conversão em decisão gerencial — objeto da Seção 4 — constituem a etapa final, sem a qual o esforço anterior permanece </w:t>
      </w:r>
      <w:r>
        <w:t>exercício técnico sem consequência para o negócio.</w:t>
      </w:r>
    </w:p>
    <w:p w:rsidR="002501F4" w:rsidRDefault="000F17FF">
      <w:pPr>
        <w:keepNext/>
        <w:spacing w:before="240" w:after="120"/>
        <w:jc w:val="left"/>
      </w:pPr>
      <w:r>
        <w:rPr>
          <w:b/>
        </w:rPr>
        <w:t>3.4 Extensão futura: aprendizado por reforço</w:t>
      </w:r>
    </w:p>
    <w:p w:rsidR="002501F4" w:rsidRDefault="000F17FF">
      <w:pPr>
        <w:spacing w:after="120"/>
        <w:ind w:firstLine="709"/>
      </w:pPr>
      <w:r>
        <w:t>Registra-se, como evolução natural, a possibilidade de tratar a designação dinâmica de tarefas por aprendizado por reforço, usando um simulador de eventos discr</w:t>
      </w:r>
      <w:r>
        <w:t>etos do CD como ambiente e um agente que aprende, por tentativa e erro simulados, a política que minimiza espera e congestionamento. A vantagem é antecipar consequências de longo prazo que regras míopes não capturam; a desvantagem é exigir simulador fiel e</w:t>
      </w:r>
      <w:r>
        <w:t xml:space="preserve"> maturidade analítica ainda inexistente na empresa, razão pela qual se recomenda posicioná-la como terceira onda de evolução.</w:t>
      </w:r>
    </w:p>
    <w:p w:rsidR="002501F4" w:rsidRDefault="000F17FF">
      <w:pPr>
        <w:keepNext/>
        <w:spacing w:before="360" w:after="120"/>
        <w:jc w:val="left"/>
      </w:pPr>
      <w:r>
        <w:rPr>
          <w:b/>
        </w:rPr>
        <w:t>4 RESULTADOS ESPERADOS E ANÁLISE DE IMPACTO</w:t>
      </w:r>
    </w:p>
    <w:p w:rsidR="002501F4" w:rsidRDefault="000F17FF">
      <w:pPr>
        <w:keepNext/>
        <w:spacing w:before="240" w:after="120"/>
        <w:jc w:val="left"/>
      </w:pPr>
      <w:r>
        <w:rPr>
          <w:b/>
        </w:rPr>
        <w:t>4.1 Indicadores de desempenho propostos</w:t>
      </w:r>
    </w:p>
    <w:p w:rsidR="002501F4" w:rsidRDefault="000F17FF">
      <w:pPr>
        <w:spacing w:after="120"/>
        <w:ind w:firstLine="709"/>
      </w:pPr>
      <w:r>
        <w:t>A definição dos indicadores precede a implanta</w:t>
      </w:r>
      <w:r>
        <w:t>ção e é parte dela: não se trata apenas de medir o resultado ao final, mas de estabelecer a linha de base contra a qual o ganho será aferido — sem ela, qualquer discussão sobre a eficácia do modelo se reduz a opinião. O Quadro 9 apresenta os indicadores pr</w:t>
      </w:r>
      <w:r>
        <w:t>opostos, com valores atuais e metas estimadas.</w:t>
      </w:r>
    </w:p>
    <w:p w:rsidR="002501F4" w:rsidRDefault="000F17FF">
      <w:pPr>
        <w:keepNext/>
        <w:spacing w:before="240" w:after="60" w:line="240" w:lineRule="auto"/>
        <w:jc w:val="left"/>
      </w:pPr>
      <w:r>
        <w:rPr>
          <w:b/>
          <w:sz w:val="20"/>
        </w:rPr>
        <w:t xml:space="preserve">Quadro 9 – </w:t>
      </w:r>
      <w:r>
        <w:rPr>
          <w:sz w:val="20"/>
        </w:rPr>
        <w:t>Indicadores de desempenho: linha de base e metas esperadas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3402"/>
        <w:gridCol w:w="1361"/>
        <w:gridCol w:w="1247"/>
        <w:gridCol w:w="1020"/>
        <w:gridCol w:w="1474"/>
      </w:tblGrid>
      <w:tr w:rsidR="002501F4">
        <w:tc>
          <w:tcPr>
            <w:tcW w:w="3402" w:type="dxa"/>
            <w:vAlign w:val="center"/>
          </w:tcPr>
          <w:p w:rsidR="002501F4" w:rsidRDefault="000F17FF">
            <w:pPr>
              <w:spacing w:before="40" w:after="40" w:line="240" w:lineRule="auto"/>
              <w:jc w:val="center"/>
            </w:pPr>
            <w:r>
              <w:rPr>
                <w:b/>
                <w:sz w:val="18"/>
              </w:rPr>
              <w:t>Indicador</w:t>
            </w:r>
          </w:p>
        </w:tc>
        <w:tc>
          <w:tcPr>
            <w:tcW w:w="1361" w:type="dxa"/>
            <w:vAlign w:val="center"/>
          </w:tcPr>
          <w:p w:rsidR="002501F4" w:rsidRDefault="000F17FF">
            <w:pPr>
              <w:spacing w:before="40" w:after="40" w:line="240" w:lineRule="auto"/>
              <w:jc w:val="center"/>
            </w:pPr>
            <w:r>
              <w:rPr>
                <w:b/>
                <w:sz w:val="18"/>
              </w:rPr>
              <w:t>Unidade</w:t>
            </w:r>
          </w:p>
        </w:tc>
        <w:tc>
          <w:tcPr>
            <w:tcW w:w="1247" w:type="dxa"/>
            <w:vAlign w:val="center"/>
          </w:tcPr>
          <w:p w:rsidR="002501F4" w:rsidRDefault="000F17FF">
            <w:pPr>
              <w:spacing w:before="40" w:after="40" w:line="240" w:lineRule="auto"/>
              <w:jc w:val="center"/>
            </w:pPr>
            <w:r>
              <w:rPr>
                <w:b/>
                <w:sz w:val="18"/>
              </w:rPr>
              <w:t>Base</w:t>
            </w:r>
          </w:p>
        </w:tc>
        <w:tc>
          <w:tcPr>
            <w:tcW w:w="1020" w:type="dxa"/>
            <w:vAlign w:val="center"/>
          </w:tcPr>
          <w:p w:rsidR="002501F4" w:rsidRDefault="000F17FF">
            <w:pPr>
              <w:spacing w:before="40" w:after="40" w:line="240" w:lineRule="auto"/>
              <w:jc w:val="center"/>
            </w:pPr>
            <w:r>
              <w:rPr>
                <w:b/>
                <w:sz w:val="18"/>
              </w:rPr>
              <w:t>Meta</w:t>
            </w:r>
          </w:p>
        </w:tc>
        <w:tc>
          <w:tcPr>
            <w:tcW w:w="1474" w:type="dxa"/>
            <w:vAlign w:val="center"/>
          </w:tcPr>
          <w:p w:rsidR="002501F4" w:rsidRDefault="000F17FF">
            <w:pPr>
              <w:spacing w:before="40" w:after="40" w:line="240" w:lineRule="auto"/>
              <w:jc w:val="center"/>
            </w:pPr>
            <w:r>
              <w:rPr>
                <w:b/>
                <w:sz w:val="18"/>
              </w:rPr>
              <w:t>Variação</w:t>
            </w:r>
          </w:p>
        </w:tc>
      </w:tr>
      <w:tr w:rsidR="002501F4">
        <w:tc>
          <w:tcPr>
            <w:tcW w:w="3402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Distância média percorrida por pedido</w:t>
            </w:r>
          </w:p>
        </w:tc>
        <w:tc>
          <w:tcPr>
            <w:tcW w:w="1361" w:type="dxa"/>
            <w:vAlign w:val="center"/>
          </w:tcPr>
          <w:p w:rsidR="002501F4" w:rsidRDefault="000F17FF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m</w:t>
            </w:r>
          </w:p>
        </w:tc>
        <w:tc>
          <w:tcPr>
            <w:tcW w:w="1247" w:type="dxa"/>
            <w:vAlign w:val="center"/>
          </w:tcPr>
          <w:p w:rsidR="002501F4" w:rsidRDefault="000F17FF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780</w:t>
            </w:r>
          </w:p>
        </w:tc>
        <w:tc>
          <w:tcPr>
            <w:tcW w:w="1020" w:type="dxa"/>
            <w:vAlign w:val="center"/>
          </w:tcPr>
          <w:p w:rsidR="002501F4" w:rsidRDefault="000F17FF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560</w:t>
            </w:r>
          </w:p>
        </w:tc>
        <w:tc>
          <w:tcPr>
            <w:tcW w:w="1474" w:type="dxa"/>
            <w:vAlign w:val="center"/>
          </w:tcPr>
          <w:p w:rsidR="002501F4" w:rsidRDefault="000F17FF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28%</w:t>
            </w:r>
          </w:p>
        </w:tc>
      </w:tr>
      <w:tr w:rsidR="002501F4">
        <w:tc>
          <w:tcPr>
            <w:tcW w:w="3402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Linhas separadas por hora por operador</w:t>
            </w:r>
          </w:p>
        </w:tc>
        <w:tc>
          <w:tcPr>
            <w:tcW w:w="1361" w:type="dxa"/>
            <w:vAlign w:val="center"/>
          </w:tcPr>
          <w:p w:rsidR="002501F4" w:rsidRDefault="000F17FF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linhas/h</w:t>
            </w:r>
          </w:p>
        </w:tc>
        <w:tc>
          <w:tcPr>
            <w:tcW w:w="1247" w:type="dxa"/>
            <w:vAlign w:val="center"/>
          </w:tcPr>
          <w:p w:rsidR="002501F4" w:rsidRDefault="000F17FF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62</w:t>
            </w:r>
          </w:p>
        </w:tc>
        <w:tc>
          <w:tcPr>
            <w:tcW w:w="1020" w:type="dxa"/>
            <w:vAlign w:val="center"/>
          </w:tcPr>
          <w:p w:rsidR="002501F4" w:rsidRDefault="000F17FF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78</w:t>
            </w:r>
          </w:p>
        </w:tc>
        <w:tc>
          <w:tcPr>
            <w:tcW w:w="1474" w:type="dxa"/>
            <w:vAlign w:val="center"/>
          </w:tcPr>
          <w:p w:rsidR="002501F4" w:rsidRDefault="000F17FF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+26%</w:t>
            </w:r>
          </w:p>
        </w:tc>
      </w:tr>
      <w:tr w:rsidR="002501F4">
        <w:tc>
          <w:tcPr>
            <w:tcW w:w="3402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Tempo de ciclo do pedido (entrada até expedição)</w:t>
            </w:r>
          </w:p>
        </w:tc>
        <w:tc>
          <w:tcPr>
            <w:tcW w:w="1361" w:type="dxa"/>
            <w:vAlign w:val="center"/>
          </w:tcPr>
          <w:p w:rsidR="002501F4" w:rsidRDefault="000F17FF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min</w:t>
            </w:r>
          </w:p>
        </w:tc>
        <w:tc>
          <w:tcPr>
            <w:tcW w:w="1247" w:type="dxa"/>
            <w:vAlign w:val="center"/>
          </w:tcPr>
          <w:p w:rsidR="002501F4" w:rsidRDefault="000F17FF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41</w:t>
            </w:r>
          </w:p>
        </w:tc>
        <w:tc>
          <w:tcPr>
            <w:tcW w:w="1020" w:type="dxa"/>
            <w:vAlign w:val="center"/>
          </w:tcPr>
          <w:p w:rsidR="002501F4" w:rsidRDefault="000F17FF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w="1474" w:type="dxa"/>
            <w:vAlign w:val="center"/>
          </w:tcPr>
          <w:p w:rsidR="002501F4" w:rsidRDefault="000F17FF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29%</w:t>
            </w:r>
          </w:p>
        </w:tc>
      </w:tr>
      <w:tr w:rsidR="002501F4">
        <w:tc>
          <w:tcPr>
            <w:tcW w:w="3402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lastRenderedPageBreak/>
              <w:t>Tempo improdutivo por congestionamento</w:t>
            </w:r>
          </w:p>
        </w:tc>
        <w:tc>
          <w:tcPr>
            <w:tcW w:w="1361" w:type="dxa"/>
            <w:vAlign w:val="center"/>
          </w:tcPr>
          <w:p w:rsidR="002501F4" w:rsidRDefault="000F17FF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% da jornada</w:t>
            </w:r>
          </w:p>
        </w:tc>
        <w:tc>
          <w:tcPr>
            <w:tcW w:w="1247" w:type="dxa"/>
            <w:vAlign w:val="center"/>
          </w:tcPr>
          <w:p w:rsidR="002501F4" w:rsidRDefault="000F17FF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11,0</w:t>
            </w:r>
          </w:p>
        </w:tc>
        <w:tc>
          <w:tcPr>
            <w:tcW w:w="1020" w:type="dxa"/>
            <w:vAlign w:val="center"/>
          </w:tcPr>
          <w:p w:rsidR="002501F4" w:rsidRDefault="000F17FF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5,0</w:t>
            </w:r>
          </w:p>
        </w:tc>
        <w:tc>
          <w:tcPr>
            <w:tcW w:w="1474" w:type="dxa"/>
            <w:vAlign w:val="center"/>
          </w:tcPr>
          <w:p w:rsidR="002501F4" w:rsidRDefault="000F17FF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55%</w:t>
            </w:r>
          </w:p>
        </w:tc>
      </w:tr>
      <w:tr w:rsidR="002501F4">
        <w:tc>
          <w:tcPr>
            <w:tcW w:w="3402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Acuracidade de separação</w:t>
            </w:r>
          </w:p>
        </w:tc>
        <w:tc>
          <w:tcPr>
            <w:tcW w:w="1361" w:type="dxa"/>
            <w:vAlign w:val="center"/>
          </w:tcPr>
          <w:p w:rsidR="002501F4" w:rsidRDefault="000F17FF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%</w:t>
            </w:r>
          </w:p>
        </w:tc>
        <w:tc>
          <w:tcPr>
            <w:tcW w:w="1247" w:type="dxa"/>
            <w:vAlign w:val="center"/>
          </w:tcPr>
          <w:p w:rsidR="002501F4" w:rsidRDefault="000F17FF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99,2</w:t>
            </w:r>
          </w:p>
        </w:tc>
        <w:tc>
          <w:tcPr>
            <w:tcW w:w="1020" w:type="dxa"/>
            <w:vAlign w:val="center"/>
          </w:tcPr>
          <w:p w:rsidR="002501F4" w:rsidRDefault="000F17FF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99,6</w:t>
            </w:r>
          </w:p>
        </w:tc>
        <w:tc>
          <w:tcPr>
            <w:tcW w:w="1474" w:type="dxa"/>
            <w:vAlign w:val="center"/>
          </w:tcPr>
          <w:p w:rsidR="002501F4" w:rsidRDefault="000F17FF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+0,4 p.p.</w:t>
            </w:r>
          </w:p>
        </w:tc>
      </w:tr>
      <w:tr w:rsidR="002501F4">
        <w:tc>
          <w:tcPr>
            <w:tcW w:w="3402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Custo operacional por linha separada</w:t>
            </w:r>
          </w:p>
        </w:tc>
        <w:tc>
          <w:tcPr>
            <w:tcW w:w="1361" w:type="dxa"/>
            <w:vAlign w:val="center"/>
          </w:tcPr>
          <w:p w:rsidR="002501F4" w:rsidRDefault="000F17FF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R$</w:t>
            </w:r>
          </w:p>
        </w:tc>
        <w:tc>
          <w:tcPr>
            <w:tcW w:w="1247" w:type="dxa"/>
            <w:vAlign w:val="center"/>
          </w:tcPr>
          <w:p w:rsidR="002501F4" w:rsidRDefault="000F17FF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0,84</w:t>
            </w:r>
          </w:p>
        </w:tc>
        <w:tc>
          <w:tcPr>
            <w:tcW w:w="1020" w:type="dxa"/>
            <w:vAlign w:val="center"/>
          </w:tcPr>
          <w:p w:rsidR="002501F4" w:rsidRDefault="000F17FF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0,63</w:t>
            </w:r>
          </w:p>
        </w:tc>
        <w:tc>
          <w:tcPr>
            <w:tcW w:w="1474" w:type="dxa"/>
            <w:vAlign w:val="center"/>
          </w:tcPr>
          <w:p w:rsidR="002501F4" w:rsidRDefault="000F17FF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25%</w:t>
            </w:r>
          </w:p>
        </w:tc>
      </w:tr>
      <w:tr w:rsidR="002501F4">
        <w:tc>
          <w:tcPr>
            <w:tcW w:w="3402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Pedidos</w:t>
            </w:r>
            <w:r>
              <w:rPr>
                <w:sz w:val="18"/>
              </w:rPr>
              <w:t xml:space="preserve"> concluídos dentro da janela de corte</w:t>
            </w:r>
          </w:p>
        </w:tc>
        <w:tc>
          <w:tcPr>
            <w:tcW w:w="1361" w:type="dxa"/>
            <w:vAlign w:val="center"/>
          </w:tcPr>
          <w:p w:rsidR="002501F4" w:rsidRDefault="000F17FF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%</w:t>
            </w:r>
          </w:p>
        </w:tc>
        <w:tc>
          <w:tcPr>
            <w:tcW w:w="1247" w:type="dxa"/>
            <w:vAlign w:val="center"/>
          </w:tcPr>
          <w:p w:rsidR="002501F4" w:rsidRDefault="000F17FF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w="1020" w:type="dxa"/>
            <w:vAlign w:val="center"/>
          </w:tcPr>
          <w:p w:rsidR="002501F4" w:rsidRDefault="000F17FF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97</w:t>
            </w:r>
          </w:p>
        </w:tc>
        <w:tc>
          <w:tcPr>
            <w:tcW w:w="1474" w:type="dxa"/>
            <w:vAlign w:val="center"/>
          </w:tcPr>
          <w:p w:rsidR="002501F4" w:rsidRDefault="000F17FF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+6 p.p.</w:t>
            </w:r>
          </w:p>
        </w:tc>
      </w:tr>
      <w:tr w:rsidR="002501F4">
        <w:tc>
          <w:tcPr>
            <w:tcW w:w="3402" w:type="dxa"/>
            <w:vAlign w:val="center"/>
          </w:tcPr>
          <w:p w:rsidR="002501F4" w:rsidRDefault="000F17FF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Ruptura em loja por falha de abastecimento do CD</w:t>
            </w:r>
          </w:p>
        </w:tc>
        <w:tc>
          <w:tcPr>
            <w:tcW w:w="1361" w:type="dxa"/>
            <w:vAlign w:val="center"/>
          </w:tcPr>
          <w:p w:rsidR="002501F4" w:rsidRDefault="000F17FF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%</w:t>
            </w:r>
          </w:p>
        </w:tc>
        <w:tc>
          <w:tcPr>
            <w:tcW w:w="1247" w:type="dxa"/>
            <w:vAlign w:val="center"/>
          </w:tcPr>
          <w:p w:rsidR="002501F4" w:rsidRDefault="000F17FF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3,8</w:t>
            </w:r>
          </w:p>
        </w:tc>
        <w:tc>
          <w:tcPr>
            <w:tcW w:w="1020" w:type="dxa"/>
            <w:vAlign w:val="center"/>
          </w:tcPr>
          <w:p w:rsidR="002501F4" w:rsidRDefault="000F17FF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2,1</w:t>
            </w:r>
          </w:p>
        </w:tc>
        <w:tc>
          <w:tcPr>
            <w:tcW w:w="1474" w:type="dxa"/>
            <w:vAlign w:val="center"/>
          </w:tcPr>
          <w:p w:rsidR="002501F4" w:rsidRDefault="000F17FF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45%</w:t>
            </w:r>
          </w:p>
        </w:tc>
      </w:tr>
    </w:tbl>
    <w:p w:rsidR="002501F4" w:rsidRDefault="000F17FF">
      <w:pPr>
        <w:spacing w:before="60" w:after="240" w:line="240" w:lineRule="auto"/>
        <w:jc w:val="left"/>
      </w:pPr>
      <w:r>
        <w:rPr>
          <w:sz w:val="18"/>
        </w:rPr>
        <w:t>Fonte: o autor (2026).</w:t>
      </w:r>
    </w:p>
    <w:p w:rsidR="002501F4" w:rsidRDefault="000F17FF">
      <w:pPr>
        <w:spacing w:after="120"/>
        <w:ind w:firstLine="709"/>
      </w:pPr>
      <w:r>
        <w:t>Aplicada ao volume do CD, uma redução de 25% no custo por linha representa, sobre 46.000 linhas diárias, economia</w:t>
      </w:r>
      <w:r>
        <w:t xml:space="preserve"> da ordem de R$ 9,7 mil por dia, ou cerca de R$ 2,9 milhões por ano considerados 300 dias úteis — magnitude suficiente para justificar o investimento em capacitação analítica e integração de sistemas, ainda que nenhum equipamento novo seja adquirido.</w:t>
      </w:r>
    </w:p>
    <w:p w:rsidR="002501F4" w:rsidRDefault="000F17FF">
      <w:pPr>
        <w:keepNext/>
        <w:spacing w:before="240" w:after="120"/>
        <w:jc w:val="left"/>
      </w:pPr>
      <w:r>
        <w:rPr>
          <w:b/>
        </w:rPr>
        <w:t>4.2 I</w:t>
      </w:r>
      <w:r>
        <w:rPr>
          <w:b/>
        </w:rPr>
        <w:t>nfluência dos indicadores na decisão gerencial</w:t>
      </w:r>
    </w:p>
    <w:p w:rsidR="002501F4" w:rsidRDefault="000F17FF">
      <w:pPr>
        <w:spacing w:after="120"/>
        <w:ind w:firstLine="709"/>
      </w:pPr>
      <w:r>
        <w:t xml:space="preserve">A leitura conjunta desses indicadores altera a natureza das decisões disponíveis ao gestor. A mais relevante é </w:t>
      </w:r>
      <w:r>
        <w:rPr>
          <w:b/>
        </w:rPr>
        <w:t>a escolha entre mudar o processo e investir em automação</w:t>
      </w:r>
      <w:r>
        <w:t>: é prática comum responder a um aumento d</w:t>
      </w:r>
      <w:r>
        <w:t>e demanda comprando equipamentos ou ampliando o armazém, mas se a distância percorrida cai 28% apenas com reendereçamento e roteirização inteligentes, a mesma estrutura física absorve volume substancialmente maior e o investimento em imobilizado pode ser a</w:t>
      </w:r>
      <w:r>
        <w:t>diado. É decisão de elevado impacto financeiro, possível apenas quando o ganho potencial da otimização está previamente quantificado.</w:t>
      </w:r>
    </w:p>
    <w:p w:rsidR="002501F4" w:rsidRDefault="000F17FF">
      <w:pPr>
        <w:spacing w:after="120"/>
        <w:ind w:firstLine="709"/>
      </w:pPr>
      <w:r>
        <w:t xml:space="preserve">Seguem-se outras três. </w:t>
      </w:r>
      <w:r>
        <w:rPr>
          <w:b/>
        </w:rPr>
        <w:t>O dimensionamento da equipe por onda</w:t>
      </w:r>
      <w:r>
        <w:t xml:space="preserve"> deixa de basear-se na média histórica e passa a apoiar-se na carga prevista pelo modelo de tempo de tarefa, reduzindo ociosidade nos vales e hora extra nos picos. </w:t>
      </w:r>
      <w:r>
        <w:rPr>
          <w:b/>
        </w:rPr>
        <w:t>A renegociação da janela de corte</w:t>
      </w:r>
      <w:r>
        <w:t xml:space="preserve"> torna-se viável quando o tempo de ciclo cai de 41 para 29 </w:t>
      </w:r>
      <w:r>
        <w:t>minutos: o horário-limite para pedidos das lojas pode ser postergado sem comprometer a partida do veículo, e pedidos emitidos mais tarde incorporam mais informação de venda do dia, reduzindo a ruptura por caminho independente do da otimização física. Por f</w:t>
      </w:r>
      <w:r>
        <w:t xml:space="preserve">im, </w:t>
      </w:r>
      <w:r>
        <w:rPr>
          <w:b/>
        </w:rPr>
        <w:t>o acompanhamento da acurácia da previsão</w:t>
      </w:r>
      <w:r>
        <w:t xml:space="preserve">, com registro do previsto contra o realizado período a período, é a única forma de arbitrar objetivamente a disputa entre a recomendação do modelo e o julgamento experiente do </w:t>
      </w:r>
      <w:r>
        <w:lastRenderedPageBreak/>
        <w:t>gestor — sem ele, a discussão tende</w:t>
      </w:r>
      <w:r>
        <w:t xml:space="preserve"> a ser decidida pela hierarquia, e não pela evidência.</w:t>
      </w:r>
    </w:p>
    <w:p w:rsidR="002501F4" w:rsidRDefault="000F17FF">
      <w:pPr>
        <w:keepNext/>
        <w:spacing w:before="240" w:after="120"/>
        <w:jc w:val="left"/>
      </w:pPr>
      <w:r>
        <w:rPr>
          <w:b/>
        </w:rPr>
        <w:t>4.3 Riscos e barreiras à implantação</w:t>
      </w:r>
    </w:p>
    <w:p w:rsidR="002501F4" w:rsidRDefault="000F17FF">
      <w:pPr>
        <w:spacing w:after="120"/>
        <w:ind w:firstLine="709"/>
      </w:pPr>
      <w:r>
        <w:t xml:space="preserve">A proposta enfrenta quatro riscos, todos com mitigação conhecida. O primeiro é a </w:t>
      </w:r>
      <w:r>
        <w:rPr>
          <w:b/>
        </w:rPr>
        <w:t>qualidade dos dados</w:t>
      </w:r>
      <w:r>
        <w:t>: marcações de tempo imprecisas ou endereçamento desatualizado i</w:t>
      </w:r>
      <w:r>
        <w:t xml:space="preserve">nviabilizam a medição da linha de base e o treinamento dos modelos, o que exige auditoria prévia. O segundo é a </w:t>
      </w:r>
      <w:r>
        <w:rPr>
          <w:b/>
        </w:rPr>
        <w:t>resistência organizacional</w:t>
      </w:r>
      <w:r>
        <w:t xml:space="preserve">: profissionais experientes tendem a confiar no conhecimento tácito em detrimento de uma recomendação que não explica </w:t>
      </w:r>
      <w:r>
        <w:t xml:space="preserve">suas razões, e a mitigação mais eficaz é o teste comparativo por onda — metade roteirizada pelo modelo, metade pela regra vigente. O terceiro é o </w:t>
      </w:r>
      <w:r>
        <w:rPr>
          <w:b/>
        </w:rPr>
        <w:t>custo físico do reendereçamento</w:t>
      </w:r>
      <w:r>
        <w:t xml:space="preserve">, contido pelo limite de movimentações por ciclo. O quarto é a </w:t>
      </w:r>
      <w:r>
        <w:rPr>
          <w:b/>
        </w:rPr>
        <w:t>dependência de c</w:t>
      </w:r>
      <w:r>
        <w:rPr>
          <w:b/>
        </w:rPr>
        <w:t>alibração</w:t>
      </w:r>
      <w:r>
        <w:t xml:space="preserve"> dos parâmetros do ACO e do AG.</w:t>
      </w:r>
    </w:p>
    <w:p w:rsidR="002501F4" w:rsidRDefault="000F17FF">
      <w:pPr>
        <w:keepNext/>
        <w:spacing w:before="240" w:after="120"/>
        <w:jc w:val="left"/>
      </w:pPr>
      <w:r>
        <w:rPr>
          <w:b/>
        </w:rPr>
        <w:t>4.4 Exemplo de aplicação real: Amazon Robotics</w:t>
      </w:r>
    </w:p>
    <w:p w:rsidR="002501F4" w:rsidRDefault="000F17FF">
      <w:pPr>
        <w:spacing w:after="120"/>
        <w:ind w:firstLine="709"/>
      </w:pPr>
      <w:r>
        <w:t xml:space="preserve">Um exemplo documentado de aplicação de técnicas correlatas em escala industrial é o caso da Amazon, publicado por Allgor, Çezik e Chen (2023) no </w:t>
      </w:r>
      <w:r>
        <w:rPr>
          <w:i/>
        </w:rPr>
        <w:t>INFORMS Journal on Appl</w:t>
      </w:r>
      <w:r>
        <w:rPr>
          <w:i/>
        </w:rPr>
        <w:t>ied Analytics</w:t>
      </w:r>
      <w:r>
        <w:t>. Os autores, pesquisadores da própria empresa, descrevem o redesenho do algoritmo de separação dos centros de distribuição robotizados da companhia.</w:t>
      </w:r>
    </w:p>
    <w:p w:rsidR="002501F4" w:rsidRDefault="000F17FF">
      <w:pPr>
        <w:spacing w:after="120"/>
        <w:ind w:firstLine="709"/>
      </w:pPr>
      <w:r>
        <w:t>Nesses armazéns, o modelo tradicional é invertido: em vez de o operador se deslocar até a mer</w:t>
      </w:r>
      <w:r>
        <w:t xml:space="preserve">cadoria, prateleiras móveis chamadas </w:t>
      </w:r>
      <w:r>
        <w:rPr>
          <w:i/>
        </w:rPr>
        <w:t>pods</w:t>
      </w:r>
      <w:r>
        <w:t xml:space="preserve"> são transportadas por robôs autônomos até estações fixas, nas quais os separadores permanecem parados. A decisão crítica passa a ser outra: dado um conjunto de pedidos, quais unidades retirar de quais </w:t>
      </w:r>
      <w:r>
        <w:rPr>
          <w:i/>
        </w:rPr>
        <w:t>pods</w:t>
      </w:r>
      <w:r>
        <w:t xml:space="preserve"> e em que sequência trazê-los às estações. Como um mesmo SKU está replicado em dezenas de </w:t>
      </w:r>
      <w:r>
        <w:rPr>
          <w:i/>
        </w:rPr>
        <w:t>pods</w:t>
      </w:r>
      <w:r>
        <w:t xml:space="preserve"> e cada </w:t>
      </w:r>
      <w:r>
        <w:rPr>
          <w:i/>
        </w:rPr>
        <w:t>pod</w:t>
      </w:r>
      <w:r>
        <w:t xml:space="preserve"> contém dezenas de SKUs, o número de combinações é imenso e a escolha determina quantas viagens de robô serão necessárias.</w:t>
      </w:r>
    </w:p>
    <w:p w:rsidR="002501F4" w:rsidRDefault="000F17FF">
      <w:pPr>
        <w:spacing w:after="120"/>
        <w:ind w:firstLine="709"/>
      </w:pPr>
      <w:r>
        <w:t>O algoritmo anterior tratava</w:t>
      </w:r>
      <w:r>
        <w:t xml:space="preserve"> a decisão de forma míope, otimizando pedido a pedido. A reformulação passou a considerar o conjunto de pedidos simultaneamente, maximizando o número de unidades aproveitadas por viagem de </w:t>
      </w:r>
      <w:r>
        <w:rPr>
          <w:i/>
        </w:rPr>
        <w:t>pod</w:t>
      </w:r>
      <w:r>
        <w:t xml:space="preserve"> — ou seja, </w:t>
      </w:r>
      <w:r>
        <w:lastRenderedPageBreak/>
        <w:t>converteu um problema local em um problema de design</w:t>
      </w:r>
      <w:r>
        <w:t>ação global. É a mesma mudança de perspectiva que a Abordagem B propõe ao acoplar o endereçamento à formação de lotes.</w:t>
      </w:r>
    </w:p>
    <w:p w:rsidR="002501F4" w:rsidRDefault="000F17FF">
      <w:pPr>
        <w:spacing w:after="120"/>
        <w:ind w:firstLine="709"/>
      </w:pPr>
      <w:r>
        <w:t xml:space="preserve">Os resultados são expressivos: a distância percorrida pelos </w:t>
      </w:r>
      <w:r>
        <w:rPr>
          <w:i/>
        </w:rPr>
        <w:t>pods</w:t>
      </w:r>
      <w:r>
        <w:t xml:space="preserve"> caiu 62%, sem impacto operacional negativo; a frota de robôs foi reduzid</w:t>
      </w:r>
      <w:r>
        <w:t>a em 31%, com economia direta estimada em cerca de meio bilhão de dólares; e os centros robotizados passaram a operar com área de armazenagem 29% menor que a dos equivalentes não robotizados. O algoritmo foi implantado em todos os centros robotizados da em</w:t>
      </w:r>
      <w:r>
        <w:t>presa.</w:t>
      </w:r>
    </w:p>
    <w:p w:rsidR="002501F4" w:rsidRDefault="000F17FF">
      <w:pPr>
        <w:spacing w:after="120"/>
        <w:ind w:firstLine="709"/>
      </w:pPr>
      <w:r>
        <w:t xml:space="preserve">Dois aspectos merecem destaque por sua transferibilidade. O primeiro é que o ganho não decorreu da automação física em si — os robôs já estavam instalados —, mas da decisão algorítmica sobre como utilizá-los, o que reforça o argumento da Seção 4.2: </w:t>
      </w:r>
      <w:r>
        <w:t>antes de investir em equipamento, convém avaliar quanto ainda pode ser extraído do ativo existente. O segundo é o caráter colaborativo: o algoritmo não substituiu o trabalho humano, mas reorganizou-o para eliminar o deslocamento improdutivo, elevando a pro</w:t>
      </w:r>
      <w:r>
        <w:t>dutividade sem intensificar o esforço do separador — o que endereça a barreira de resistência discutida na Seção 4.3. O artigo está disponível em https://pubsonline.informs.org/doi/10.1287/inte.2022.1143 (DOI: 10.1287/inte.2022.1143).</w:t>
      </w:r>
    </w:p>
    <w:p w:rsidR="002501F4" w:rsidRDefault="000F17FF">
      <w:pPr>
        <w:keepNext/>
        <w:spacing w:before="360" w:after="120"/>
        <w:jc w:val="left"/>
      </w:pPr>
      <w:r>
        <w:rPr>
          <w:b/>
        </w:rPr>
        <w:t>5 CONSIDERAÇÕES FINAI</w:t>
      </w:r>
      <w:r>
        <w:rPr>
          <w:b/>
        </w:rPr>
        <w:t>S</w:t>
      </w:r>
    </w:p>
    <w:p w:rsidR="002501F4" w:rsidRDefault="000F17FF">
      <w:pPr>
        <w:spacing w:after="120"/>
        <w:ind w:firstLine="709"/>
      </w:pPr>
      <w:r>
        <w:t>Este relatório propôs a aplicação de inteligência artificial à otimização da separação de pedidos em centros de distribuição, decompondo o problema em quatro subproblemas acoplados, especificando as estruturas de dados necessárias e apresentando duas abo</w:t>
      </w:r>
      <w:r>
        <w:t>rdagens complementares: meta-heurísticas bioinspiradas para o ciclo operacional e aprendizado de máquina com endereçamento dinâmico para o ciclo tático. Duas conclusões merecem registro. A primeira é que o insumo necessário já existe — os dados são gerados</w:t>
      </w:r>
      <w:r>
        <w:t xml:space="preserve"> nativamente pela operação e estão subutilizados —, o que desloca a barreira de implantação do campo tecnológico para o da governança de dados. A segunda é que a escolha da técnica deve derivar das características do problema, e não do prestígio do método:</w:t>
      </w:r>
      <w:r>
        <w:t xml:space="preserve"> aplicar uma rede neural a uma série </w:t>
      </w:r>
      <w:r>
        <w:lastRenderedPageBreak/>
        <w:t>intermitente, ou uma heurística de bloco único a um armazém de 42 ruas, produz resultado inferior ao de alternativas mais simples e adequadas.</w:t>
      </w:r>
    </w:p>
    <w:p w:rsidR="002501F4" w:rsidRDefault="000F17FF">
      <w:pPr>
        <w:keepNext/>
        <w:spacing w:before="360" w:after="120"/>
        <w:jc w:val="left"/>
      </w:pPr>
      <w:r>
        <w:rPr>
          <w:b/>
        </w:rPr>
        <w:t>REFERÊNCIAS</w:t>
      </w:r>
    </w:p>
    <w:p w:rsidR="002501F4" w:rsidRDefault="000F17FF">
      <w:pPr>
        <w:spacing w:after="240" w:line="240" w:lineRule="auto"/>
        <w:jc w:val="left"/>
      </w:pPr>
      <w:r>
        <w:t>ALLGOR, R. J.; ÇEZIK, T.; CHEN, D. Algorithm for robotic picking</w:t>
      </w:r>
      <w:r>
        <w:t xml:space="preserve"> in Amazon fulfillment centers enables humans and robots to work together effectively. </w:t>
      </w:r>
      <w:r>
        <w:rPr>
          <w:b/>
        </w:rPr>
        <w:t>INFORMS Journal on Applied Analytics</w:t>
      </w:r>
      <w:r>
        <w:t>, v. 53, n. 4, p. 266-282, 2023. DOI: 10.1287/inte.2022.1143. Disponível em: https://pubsonline.informs.org/doi/10.1287/inte.2022.114</w:t>
      </w:r>
      <w:r>
        <w:t>3. Acesso em: 30 jul. 2026.</w:t>
      </w:r>
    </w:p>
    <w:p w:rsidR="002501F4" w:rsidRDefault="000F17FF">
      <w:pPr>
        <w:spacing w:after="240" w:line="240" w:lineRule="auto"/>
        <w:jc w:val="left"/>
      </w:pPr>
      <w:r>
        <w:t xml:space="preserve">CROSTON, J. D. Forecasting and stock control for intermittent demands. </w:t>
      </w:r>
      <w:r>
        <w:rPr>
          <w:b/>
        </w:rPr>
        <w:t>Operational Research Quarterly</w:t>
      </w:r>
      <w:r>
        <w:t>, v. 23, n. 3, p. 289-303, 1972.</w:t>
      </w:r>
    </w:p>
    <w:p w:rsidR="002501F4" w:rsidRDefault="000F17FF">
      <w:pPr>
        <w:spacing w:after="240" w:line="240" w:lineRule="auto"/>
        <w:jc w:val="left"/>
      </w:pPr>
      <w:r>
        <w:t xml:space="preserve">DE KOSTER, R.; LE-DUC, T.; ROODBERGEN, K. J. Design and control of warehouse order picking: a </w:t>
      </w:r>
      <w:r>
        <w:t xml:space="preserve">literature review. </w:t>
      </w:r>
      <w:r>
        <w:rPr>
          <w:b/>
        </w:rPr>
        <w:t>European Journal of Operational Research</w:t>
      </w:r>
      <w:r>
        <w:t>, v. 182, n. 2, p. 481-501, 2007.</w:t>
      </w:r>
    </w:p>
    <w:p w:rsidR="002501F4" w:rsidRDefault="000F17FF">
      <w:pPr>
        <w:spacing w:after="240" w:line="240" w:lineRule="auto"/>
        <w:jc w:val="left"/>
      </w:pPr>
      <w:r>
        <w:t>DE SANTIS, R.; MONTANARI, R.; VIGNALI, G.; BOTTANI, E. An adapted ant colony optimization algorithm for the minimization of the travel distance of pickers in manua</w:t>
      </w:r>
      <w:r>
        <w:t xml:space="preserve">l warehouses. </w:t>
      </w:r>
      <w:r>
        <w:rPr>
          <w:b/>
        </w:rPr>
        <w:t>European Journal of Operational Research</w:t>
      </w:r>
      <w:r>
        <w:t>, v. 267, n. 1, p. 120-137, 2018.</w:t>
      </w:r>
    </w:p>
    <w:p w:rsidR="002501F4" w:rsidRDefault="000F17FF">
      <w:pPr>
        <w:spacing w:after="240" w:line="240" w:lineRule="auto"/>
        <w:jc w:val="left"/>
      </w:pPr>
      <w:r>
        <w:t xml:space="preserve">DORIGO, M.; STÜTZLE, T. </w:t>
      </w:r>
      <w:r>
        <w:rPr>
          <w:b/>
        </w:rPr>
        <w:t>Ant colony optimization</w:t>
      </w:r>
      <w:r>
        <w:t>. Cambridge: MIT Press, 2004.</w:t>
      </w:r>
    </w:p>
    <w:p w:rsidR="002501F4" w:rsidRDefault="000F17FF">
      <w:pPr>
        <w:spacing w:after="240" w:line="240" w:lineRule="auto"/>
        <w:jc w:val="left"/>
      </w:pPr>
      <w:r>
        <w:t xml:space="preserve">MORETTIN, P. A. </w:t>
      </w:r>
      <w:r>
        <w:rPr>
          <w:b/>
        </w:rPr>
        <w:t>Análise de séries temporais</w:t>
      </w:r>
      <w:r>
        <w:t>. São Paulo: Blucher, 2018.</w:t>
      </w:r>
    </w:p>
    <w:p w:rsidR="002501F4" w:rsidRDefault="000F17FF">
      <w:pPr>
        <w:spacing w:after="240" w:line="240" w:lineRule="auto"/>
        <w:jc w:val="left"/>
      </w:pPr>
      <w:r>
        <w:t xml:space="preserve">NORVIG, P. </w:t>
      </w:r>
      <w:r>
        <w:rPr>
          <w:b/>
        </w:rPr>
        <w:t>Inteligên</w:t>
      </w:r>
      <w:r>
        <w:rPr>
          <w:b/>
        </w:rPr>
        <w:t>cia artificial</w:t>
      </w:r>
      <w:r>
        <w:t>. Rio de Janeiro: LTC, 2013.</w:t>
      </w:r>
    </w:p>
    <w:p w:rsidR="002501F4" w:rsidRDefault="000F17FF">
      <w:pPr>
        <w:spacing w:after="240" w:line="240" w:lineRule="auto"/>
        <w:jc w:val="left"/>
      </w:pPr>
      <w:r>
        <w:t xml:space="preserve">STEIN, R. et al. </w:t>
      </w:r>
      <w:r>
        <w:rPr>
          <w:b/>
        </w:rPr>
        <w:t>Modelagem e otimização de sistemas da produção</w:t>
      </w:r>
      <w:r>
        <w:t>. Porto Alegre: SAGAH, 2018.</w:t>
      </w:r>
    </w:p>
    <w:p w:rsidR="002501F4" w:rsidRDefault="000F17FF">
      <w:pPr>
        <w:spacing w:after="240" w:line="240" w:lineRule="auto"/>
        <w:jc w:val="left"/>
      </w:pPr>
      <w:r>
        <w:t xml:space="preserve">SYNTETOS, A. A.; BOYLAN, J. E. The accuracy of intermittent demand estimates. </w:t>
      </w:r>
      <w:r>
        <w:rPr>
          <w:b/>
        </w:rPr>
        <w:t>International Journal of Forecasting</w:t>
      </w:r>
      <w:r>
        <w:t>, v. 21</w:t>
      </w:r>
      <w:r>
        <w:t>, n. 2, p. 303-314, 2005.</w:t>
      </w:r>
    </w:p>
    <w:sectPr w:rsidR="002501F4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F17FF"/>
    <w:rsid w:val="0015074B"/>
    <w:rsid w:val="002501F4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0D11A59C-EA0B-473E-BA24-3A74233F0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0" w:line="360" w:lineRule="auto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D0D4359-8B4D-48EB-A1F9-A2322F3E06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5039</Words>
  <Characters>27211</Characters>
  <Application>Microsoft Office Word</Application>
  <DocSecurity>0</DocSecurity>
  <Lines>226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32186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marcos</cp:lastModifiedBy>
  <cp:revision>2</cp:revision>
  <dcterms:created xsi:type="dcterms:W3CDTF">2013-12-23T23:15:00Z</dcterms:created>
  <dcterms:modified xsi:type="dcterms:W3CDTF">2026-08-05T23:10:00Z</dcterms:modified>
  <cp:category/>
</cp:coreProperties>
</file>