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D56" w:rsidRDefault="008B7878">
      <w:pPr>
        <w:jc w:val="center"/>
      </w:pPr>
      <w:r>
        <w:rPr>
          <w:b/>
        </w:rPr>
        <w:t>PONTIFÍCIA UNIVERSIDADE CATÓLICA DO PARANÁ</w:t>
      </w:r>
    </w:p>
    <w:p w:rsidR="008B7878" w:rsidRDefault="008B7878" w:rsidP="008B7878">
      <w:pPr>
        <w:jc w:val="center"/>
      </w:pP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aplicada</w:t>
      </w:r>
      <w:proofErr w:type="spellEnd"/>
    </w:p>
    <w:p w:rsidR="00B46D56" w:rsidRDefault="008B7878">
      <w:pPr>
        <w:spacing w:after="3600"/>
        <w:jc w:val="center"/>
      </w:pPr>
      <w:r>
        <w:t xml:space="preserve">IA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Gestão</w:t>
      </w:r>
      <w:proofErr w:type="spellEnd"/>
      <w:r>
        <w:t xml:space="preserve"> de Negócios</w:t>
      </w:r>
    </w:p>
    <w:p w:rsidR="00B46D56" w:rsidRDefault="008B7878">
      <w:pPr>
        <w:spacing w:after="3600"/>
        <w:jc w:val="center"/>
      </w:pPr>
      <w:r>
        <w:rPr>
          <w:b/>
        </w:rPr>
        <w:t xml:space="preserve">SISTEMA DE INTELIGÊNCIA ARTIFICIAL PARA OTIMIZAÇÃO DA SEPARAÇÃO DE PEDIDOS EM CENTRO DE DISTRIBUIÇÃO: IMPLEMENTAÇÃO E AVALIAÇÃO EXPERIMENTAL DE UM </w:t>
      </w:r>
      <w:r>
        <w:rPr>
          <w:b/>
        </w:rPr>
        <w:t>PIPELINE COM ALGORITMO GENÉTICO E COLÔNIA DE FORMIGAS</w:t>
      </w:r>
    </w:p>
    <w:p w:rsidR="00B46D56" w:rsidRDefault="008B7878" w:rsidP="008B7878">
      <w:pPr>
        <w:jc w:val="center"/>
      </w:pPr>
      <w:r>
        <w:t>Marcos Daniel Santana</w:t>
      </w:r>
    </w:p>
    <w:p w:rsidR="008B7878" w:rsidRDefault="008B7878" w:rsidP="008B7878">
      <w:pPr>
        <w:jc w:val="center"/>
      </w:pPr>
    </w:p>
    <w:p w:rsidR="008B7878" w:rsidRDefault="008B7878" w:rsidP="008B7878">
      <w:pPr>
        <w:jc w:val="center"/>
      </w:pPr>
    </w:p>
    <w:p w:rsidR="008B7878" w:rsidRDefault="008B7878" w:rsidP="008B7878">
      <w:pPr>
        <w:jc w:val="center"/>
      </w:pPr>
    </w:p>
    <w:p w:rsidR="008B7878" w:rsidRDefault="008B7878" w:rsidP="008B7878">
      <w:pPr>
        <w:jc w:val="center"/>
      </w:pPr>
      <w:bookmarkStart w:id="0" w:name="_GoBack"/>
      <w:bookmarkEnd w:id="0"/>
    </w:p>
    <w:p w:rsidR="00B46D56" w:rsidRDefault="008B7878">
      <w:pPr>
        <w:jc w:val="center"/>
      </w:pPr>
      <w:r>
        <w:t>Curitiba</w:t>
      </w:r>
    </w:p>
    <w:p w:rsidR="00B46D56" w:rsidRDefault="008B7878">
      <w:pPr>
        <w:jc w:val="center"/>
      </w:pPr>
      <w:r>
        <w:t>2026</w:t>
      </w:r>
    </w:p>
    <w:p w:rsidR="00B46D56" w:rsidRDefault="008B7878">
      <w:r>
        <w:lastRenderedPageBreak/>
        <w:br w:type="page"/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lastRenderedPageBreak/>
        <w:t>1 INTRODUÇÃO E ENQUADRAMENTO DO PROBLEMA</w:t>
      </w:r>
    </w:p>
    <w:p w:rsidR="00B46D56" w:rsidRDefault="008B7878">
      <w:pPr>
        <w:spacing w:after="120"/>
        <w:ind w:firstLine="709"/>
      </w:pPr>
      <w:r>
        <w:t xml:space="preserve">A separação de pedidos, ou </w:t>
      </w:r>
      <w:r>
        <w:rPr>
          <w:i/>
        </w:rPr>
        <w:t>order picking</w:t>
      </w:r>
      <w:r>
        <w:t>, é a atividade economicamente mais crítica de um centro de distribuição (CD). De K</w:t>
      </w:r>
      <w:r>
        <w:t xml:space="preserve">oster, Le-Duc e Roodbergen (2007) estimam que responda por até 55% da despesa operacional de um armazém, sendo a maior parcela desse custo consumida pelo </w:t>
      </w:r>
      <w:r>
        <w:rPr>
          <w:b/>
        </w:rPr>
        <w:t>deslocamento</w:t>
      </w:r>
      <w:r>
        <w:t xml:space="preserve"> do separador entre os endereços de coleta — tempo que não agrega valor algum ao produto. </w:t>
      </w:r>
      <w:r>
        <w:t>Encurtar esse percurso é a alavanca mais direta de que o gestor logístico dispõe para melhorar custo e nível de serviço simultaneamente.</w:t>
      </w:r>
    </w:p>
    <w:p w:rsidR="00B46D56" w:rsidRDefault="008B7878">
      <w:pPr>
        <w:spacing w:after="120"/>
        <w:ind w:firstLine="709"/>
      </w:pPr>
      <w:r>
        <w:t>Em atividade anterior desta disciplina, propôs-se para esse problema um sistema de inteligência artificial em duas cama</w:t>
      </w:r>
      <w:r>
        <w:t xml:space="preserve">das: um ciclo operacional, com meta-heurísticas bioinspiradas, e um ciclo tático, com aprendizado de máquina e endereçamento dinâmico. Aquele trabalho parou na proposição. O objetivo deste relatório é </w:t>
      </w:r>
      <w:r>
        <w:rPr>
          <w:b/>
        </w:rPr>
        <w:t>implementar, executar e medir</w:t>
      </w:r>
      <w:r>
        <w:t xml:space="preserve"> o ciclo operacional — alg</w:t>
      </w:r>
      <w:r>
        <w:t>oritmo genético para a formação de lotes e otimização por colônia de formigas para a roteirização —, confrontando-o com a regra que o sistema de gerenciamento de armazém (WMS) da empresa aplica hoje.</w:t>
      </w:r>
    </w:p>
    <w:p w:rsidR="00B46D56" w:rsidRDefault="008B7878">
      <w:pPr>
        <w:spacing w:after="120"/>
        <w:ind w:firstLine="709"/>
      </w:pPr>
      <w:r>
        <w:t xml:space="preserve">O problema decorre de quatro decisões acopladas: em que </w:t>
      </w:r>
      <w:r>
        <w:t>endereço armazenar cada item (SLAP), como agrupar pedidos em lotes (OBP), em que sequência visitar os endereços de um lote (PRP) e qual operador executa cada tarefa. Na maioria das operações brasileiras de porte médio, essas decisões são tomadas por regras</w:t>
      </w:r>
      <w:r>
        <w:t xml:space="preserve"> estáticas embutidas no WMS: agrupamento por ordem de chegada e roteirização pela heurística </w:t>
      </w:r>
      <w:r>
        <w:rPr>
          <w:i/>
        </w:rPr>
        <w:t>S-shape</w:t>
      </w:r>
      <w:r>
        <w:t>. São regras cegas à sazonalidade, à afinidade entre produtos e ao congestionamento interno.</w:t>
      </w:r>
    </w:p>
    <w:p w:rsidR="00B46D56" w:rsidRDefault="008B7878">
      <w:pPr>
        <w:spacing w:after="120"/>
        <w:ind w:firstLine="709"/>
      </w:pPr>
      <w:r>
        <w:t xml:space="preserve">Os pontos de negócio tratados são: </w:t>
      </w:r>
      <w:r>
        <w:rPr>
          <w:b/>
        </w:rPr>
        <w:t>(i)</w:t>
      </w:r>
      <w:r>
        <w:t xml:space="preserve"> a distância percorrida p</w:t>
      </w:r>
      <w:r>
        <w:t xml:space="preserve">or pedido, medida física que governa todo o resto; </w:t>
      </w:r>
      <w:r>
        <w:rPr>
          <w:b/>
        </w:rPr>
        <w:t>(ii)</w:t>
      </w:r>
      <w:r>
        <w:t xml:space="preserve"> a produtividade da mão de obra, em linhas separadas por hora; </w:t>
      </w:r>
      <w:r>
        <w:rPr>
          <w:b/>
        </w:rPr>
        <w:t>(iii)</w:t>
      </w:r>
      <w:r>
        <w:t xml:space="preserve"> o custo operacional por linha; </w:t>
      </w:r>
      <w:r>
        <w:rPr>
          <w:b/>
        </w:rPr>
        <w:t>(iv)</w:t>
      </w:r>
      <w:r>
        <w:t xml:space="preserve"> o cumprimento da janela de corte para expedição; e </w:t>
      </w:r>
      <w:r>
        <w:rPr>
          <w:b/>
        </w:rPr>
        <w:t>(v)</w:t>
      </w:r>
      <w:r>
        <w:t xml:space="preserve"> a decisão entre otimizar o processo exist</w:t>
      </w:r>
      <w:r>
        <w:t>ente e investir em automação.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lastRenderedPageBreak/>
        <w:t>1.1 Enquadramento do setor de mercado</w:t>
      </w:r>
    </w:p>
    <w:p w:rsidR="00B46D56" w:rsidRDefault="008B7878">
      <w:pPr>
        <w:spacing w:after="120"/>
        <w:ind w:firstLine="709"/>
      </w:pPr>
      <w:r>
        <w:t>O problema é característico do varejo e da distribuição atacadista, mas manifesta-se com igual intensidade em comércio eletrônico puro, operadores logísticos terceirizados, distribuição fa</w:t>
      </w:r>
      <w:r>
        <w:t xml:space="preserve">rmacêutica e autopeças — sempre que coexistem elevado número de SKUs ativos, alta frequência de pedidos com poucas linhas cada e janelas de expedição rígidas. Mantém-se como objeto a mesma empresa fictícia da atividade anterior, a </w:t>
      </w:r>
      <w:r>
        <w:rPr>
          <w:b/>
        </w:rPr>
        <w:t>Rede Vetor Varejo S.A.</w:t>
      </w:r>
      <w:r>
        <w:t>, r</w:t>
      </w:r>
      <w:r>
        <w:t>ede omnichannel que opera um CD central próprio. O Quadro 1 descreve a instância efetivamente modelada no experimento.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1 – </w:t>
      </w:r>
      <w:r>
        <w:rPr>
          <w:sz w:val="20"/>
        </w:rPr>
        <w:t>Instância do centro de distribuição implementada no experimento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4819"/>
      </w:tblGrid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Corredores de picking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12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Endereços por </w:t>
            </w:r>
            <w:r>
              <w:rPr>
                <w:sz w:val="18"/>
              </w:rPr>
              <w:t>corredor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40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Endereços de picking (total)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480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Nós no grafo de roteirização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505 (doca + entradas de corredor + endereços)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Distância entre endereços consecutivos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1,20 m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Distância entre corredores vizinhos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3,50 m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Capacidade do carrinho de separação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linhas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Linhas por pedido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 a 6 (perfil de comércio eletrônico)</w:t>
            </w:r>
          </w:p>
        </w:tc>
      </w:tr>
      <w:tr w:rsidR="00B46D56">
        <w:tc>
          <w:tcPr>
            <w:tcW w:w="368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Transversais</w:t>
            </w:r>
          </w:p>
        </w:tc>
        <w:tc>
          <w:tcPr>
            <w:tcW w:w="4819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frontal e traseira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B46D56" w:rsidRDefault="008B7878">
      <w:pPr>
        <w:spacing w:after="120"/>
        <w:ind w:firstLine="709"/>
      </w:pPr>
      <w:r>
        <w:t xml:space="preserve">A instância é deliberadamente menor que o CD completo descrito na atividade anterior. A redução de escala preserva a </w:t>
      </w:r>
      <w:r>
        <w:rPr>
          <w:b/>
        </w:rPr>
        <w:t>estrutura</w:t>
      </w:r>
      <w:r>
        <w:t xml:space="preserve"> do problema — layout retangular com transversais, demanda concentrada em curva ABC, capacidade limitada por carrinho — e mantém o tempo de execução compatível com um exercício reproduzível, sem alterar a natureza combinatória das decisões avaliadas.</w:t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t>2 DES</w:t>
      </w:r>
      <w:r>
        <w:rPr>
          <w:b/>
        </w:rPr>
        <w:t>CRIÇÃO PORMENORIZADA DO PROBLEMA E DOS DADOS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2.1 O problema de decisão</w:t>
      </w:r>
    </w:p>
    <w:p w:rsidR="00B46D56" w:rsidRDefault="008B7878">
      <w:pPr>
        <w:spacing w:after="120"/>
        <w:ind w:firstLine="709"/>
      </w:pPr>
      <w:r>
        <w:t xml:space="preserve">Dado um conjunto de pedidos que compõem uma </w:t>
      </w:r>
      <w:r>
        <w:rPr>
          <w:b/>
        </w:rPr>
        <w:t>onda de separação</w:t>
      </w:r>
      <w:r>
        <w:t xml:space="preserve">, é preciso decidir (a) como distribuí-los entre lotes que respeitem a capacidade do carrinho e (b) em que ordem visitar os </w:t>
      </w:r>
      <w:r>
        <w:t xml:space="preserve">endereços de cada lote, de modo a minimizar a distância total percorrida. O segundo subproblema é uma variante do Problema do Caixeiro Viajante </w:t>
      </w:r>
      <w:r>
        <w:lastRenderedPageBreak/>
        <w:t>de Steiner e pertence à classe NP-difícil: um único lote com 30 endereços admite, no limite teórico, 30! sequênc</w:t>
      </w:r>
      <w:r>
        <w:t>ias possíveis, o que inviabiliza a enumeração exaustiva.</w:t>
      </w:r>
    </w:p>
    <w:p w:rsidR="00B46D56" w:rsidRDefault="008B7878">
      <w:pPr>
        <w:spacing w:after="120"/>
        <w:ind w:firstLine="709"/>
      </w:pPr>
      <w:r>
        <w:t xml:space="preserve">A restrição adicional é operacional, não matemática: a resposta precisa sair em </w:t>
      </w:r>
      <w:r>
        <w:rPr>
          <w:b/>
        </w:rPr>
        <w:t>segundos</w:t>
      </w:r>
      <w:r>
        <w:t>, porque pedidos entram e são cancelados continuamente ao longo do turno. Um método que encontre o ótimo em hor</w:t>
      </w:r>
      <w:r>
        <w:t>as é inútil aqui. Esse é exatamente o nicho das meta-heurísticas, que abandonam a garantia de otimalidade em troca de boas soluções em tempo controlado.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2.2 Dados de entrada</w:t>
      </w:r>
    </w:p>
    <w:p w:rsidR="00B46D56" w:rsidRDefault="008B7878">
      <w:pPr>
        <w:spacing w:after="120"/>
        <w:ind w:firstLine="709"/>
      </w:pPr>
      <w:r>
        <w:t>O sistema consome quatro estruturas, descritas no Quadro 2. As duas primeiras desc</w:t>
      </w:r>
      <w:r>
        <w:t>revem o estado físico do armazém e mudam raramente; as duas últimas são transacionais e mudam a cada onda.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2 – </w:t>
      </w:r>
      <w:r>
        <w:rPr>
          <w:sz w:val="20"/>
        </w:rPr>
        <w:t>Estruturas de dados de entrada do sistema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2948"/>
      </w:tblGrid>
      <w:tr w:rsidR="00B46D56"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Estrutura</w:t>
            </w:r>
          </w:p>
        </w:tc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Campos principais</w:t>
            </w:r>
          </w:p>
        </w:tc>
        <w:tc>
          <w:tcPr>
            <w:tcW w:w="2948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Origem e formato</w:t>
            </w:r>
          </w:p>
        </w:tc>
      </w:tr>
      <w:tr w:rsidR="00B46D56"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Mapa de endereçamento</w:t>
            </w:r>
          </w:p>
        </w:tc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endereco_id, rua, posicao, </w:t>
            </w:r>
            <w:r>
              <w:rPr>
                <w:sz w:val="18"/>
              </w:rPr>
              <w:t>coord_x, coord_y</w:t>
            </w:r>
          </w:p>
        </w:tc>
        <w:tc>
          <w:tcPr>
            <w:tcW w:w="2948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WMS; extração ETL para CSV/Parquet</w:t>
            </w:r>
          </w:p>
        </w:tc>
      </w:tr>
      <w:tr w:rsidR="00B46D56"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Topologia do armazém</w:t>
            </w:r>
          </w:p>
        </w:tc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arestas (u, v, distância) dos corredores e transversais</w:t>
            </w:r>
          </w:p>
        </w:tc>
        <w:tc>
          <w:tcPr>
            <w:tcW w:w="2948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Planta do CD; derivada do mapa de endereçamento</w:t>
            </w:r>
          </w:p>
        </w:tc>
      </w:tr>
      <w:tr w:rsidR="00B46D56"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Pedidos da onda</w:t>
            </w:r>
          </w:p>
        </w:tc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pedido_id, sku_id, endereco_id, quantidade, canal</w:t>
            </w:r>
          </w:p>
        </w:tc>
        <w:tc>
          <w:tcPr>
            <w:tcW w:w="2948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WMS/ERP; AP</w:t>
            </w:r>
            <w:r>
              <w:rPr>
                <w:sz w:val="18"/>
              </w:rPr>
              <w:t>I REST em tempo real</w:t>
            </w:r>
          </w:p>
        </w:tc>
      </w:tr>
      <w:tr w:rsidR="00B46D56"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Cadastro de equipamentos</w:t>
            </w:r>
          </w:p>
        </w:tc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capacidade em linhas, velocidade média de deslocamento</w:t>
            </w:r>
          </w:p>
        </w:tc>
        <w:tc>
          <w:tcPr>
            <w:tcW w:w="2948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ERP; parâmetro de configuração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2.3 Geração e aquisição dos dados</w:t>
      </w:r>
    </w:p>
    <w:p w:rsidR="00B46D56" w:rsidRDefault="008B7878">
      <w:pPr>
        <w:spacing w:after="120"/>
        <w:ind w:firstLine="709"/>
      </w:pPr>
      <w:r>
        <w:t xml:space="preserve">Não há acesso a uma base real de WMS, situação comum em trabalhos acadêmicos e explicitamente prevista no escopo desta atividade. Os dados são, portanto, </w:t>
      </w:r>
      <w:r>
        <w:rPr>
          <w:b/>
        </w:rPr>
        <w:t>gerados sinteticamente</w:t>
      </w:r>
      <w:r>
        <w:t xml:space="preserve">, mas não de forma arbitrária: a geração reproduz as três propriedades </w:t>
      </w:r>
      <w:r>
        <w:t>estatísticas que determinam a dificuldade do problema real.</w:t>
      </w:r>
    </w:p>
    <w:p w:rsidR="00B46D56" w:rsidRDefault="008B7878">
      <w:pPr>
        <w:spacing w:after="120"/>
        <w:ind w:firstLine="709"/>
      </w:pPr>
      <w:r>
        <w:t xml:space="preserve">A primeira é a </w:t>
      </w:r>
      <w:r>
        <w:rPr>
          <w:b/>
        </w:rPr>
        <w:t>concentração da demanda</w:t>
      </w:r>
      <w:r>
        <w:t>. A popularidade dos endereços segue uma lei de potência, e a instância gerada apresenta concentração medida de 84,5% — isto é, 20% dos endereços respondem po</w:t>
      </w:r>
      <w:r>
        <w:t xml:space="preserve">r essa fração das linhas, o padrão clássico da curva ABC. A segunda é a </w:t>
      </w:r>
      <w:r>
        <w:rPr>
          <w:b/>
        </w:rPr>
        <w:t>dispersão espacial dos itens populares</w:t>
      </w:r>
      <w:r>
        <w:t xml:space="preserve">: os ranques de popularidade são embaralhados antes de serem atribuídos aos endereços, </w:t>
      </w:r>
      <w:r>
        <w:lastRenderedPageBreak/>
        <w:t>de modo que os itens de alto giro ficam espalhados pelo arm</w:t>
      </w:r>
      <w:r>
        <w:t xml:space="preserve">azém em vez de concentrados perto da doca. Isso reproduz exatamente a linha de base da empresa, cujo endereçamento é estático e revisto uma vez por ano. A terceira é o </w:t>
      </w:r>
      <w:r>
        <w:rPr>
          <w:b/>
        </w:rPr>
        <w:t>perfil de pedido de comércio eletrônico</w:t>
      </w:r>
      <w:r>
        <w:t>, com 1 a 6 linhas por pedido.</w:t>
      </w:r>
    </w:p>
    <w:p w:rsidR="00B46D56" w:rsidRDefault="008B7878">
      <w:pPr>
        <w:spacing w:after="120"/>
        <w:ind w:firstLine="709"/>
      </w:pPr>
      <w:r>
        <w:t>Toda a geração é c</w:t>
      </w:r>
      <w:r>
        <w:t xml:space="preserve">ontrolada por semente fixa. A reprodutibilidade foi </w:t>
      </w:r>
      <w:r>
        <w:rPr>
          <w:b/>
        </w:rPr>
        <w:t>verificada experimentalmente</w:t>
      </w:r>
      <w:r>
        <w:t>: em duas execuções completas e independentes do notebook, todos os resultados algorítmicos apresentados neste relatório se repetiram de forma idêntica, divergindo apenas os te</w:t>
      </w:r>
      <w:r>
        <w:t>mpos de processamento, que dependem da carga da máquina. Em produção, essas estruturas seriam substituídas por extrações do WMS sem qualquer alteração no restante do sistema — a fronteira entre dados sintéticos e reais é uma única função.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2.4 Tratamentos a</w:t>
      </w:r>
      <w:r>
        <w:rPr>
          <w:b/>
        </w:rPr>
        <w:t>ntes e depois da aplicação das técnicas</w:t>
      </w:r>
    </w:p>
    <w:p w:rsidR="00B46D56" w:rsidRDefault="008B7878">
      <w:pPr>
        <w:spacing w:after="120"/>
        <w:ind w:firstLine="709"/>
      </w:pPr>
      <w:r>
        <w:rPr>
          <w:b/>
        </w:rPr>
        <w:t>Antes.</w:t>
      </w:r>
      <w:r>
        <w:t xml:space="preserve"> O armazém é convertido em um grafo não direcionado cujos vértices são a doca, as entradas dos corredores e os endereços, e cujas arestas são os trechos de corredor ponderados pela distância real de caminhament</w:t>
      </w:r>
      <w:r>
        <w:t xml:space="preserve">o. Sobre esse grafo aplica-se o algoritmo de </w:t>
      </w:r>
      <w:r>
        <w:rPr>
          <w:b/>
        </w:rPr>
        <w:t>Floyd–Warshall</w:t>
      </w:r>
      <w:r>
        <w:t>, que produz a matriz de distâncias mínimas entre todos os pares de vértices — o insumo de todas as etapas seguintes. Três verificações automáticas são executadas nessa fase: conectividade do grafo</w:t>
      </w:r>
      <w:r>
        <w:t xml:space="preserve"> (nenhuma distância infinita), consistência entre a geometria desenhada e a matriz calculada, e deduplicação de endereços repetidos dentro de um mesmo pedido. Sem esse cuidado vale o princípio consagrado na área: se os dados de entrada forem ruins, nenhuma</w:t>
      </w:r>
      <w:r>
        <w:t xml:space="preserve"> técnica de inteligência artificial produzirá resultado confiável.</w:t>
      </w:r>
    </w:p>
    <w:p w:rsidR="00B46D56" w:rsidRDefault="008B7878">
      <w:pPr>
        <w:spacing w:after="120"/>
        <w:ind w:firstLine="709"/>
      </w:pPr>
      <w:r>
        <w:rPr>
          <w:b/>
        </w:rPr>
        <w:t>Depois.</w:t>
      </w:r>
      <w:r>
        <w:t xml:space="preserve"> A saída dos algoritmos não é aceita sem validação. Cada rota é verificada quanto à </w:t>
      </w:r>
      <w:r>
        <w:rPr>
          <w:b/>
        </w:rPr>
        <w:t>viabilidade</w:t>
      </w:r>
      <w:r>
        <w:t xml:space="preserve"> — todos os endereços do lote visitados exatamente uma vez, percurso iniciando e termin</w:t>
      </w:r>
      <w:r>
        <w:t>ando na doca — e cada lote quanto ao respeito à capacidade do carrinho. Só então os metros são convertidos em tempo de deslocamento, produtividade e custo por linha, conversão detalhada na Seção 5. Esse pós-processamento é o que transforma a saída numérica</w:t>
      </w:r>
      <w:r>
        <w:t xml:space="preserve"> do otimizador em informação gerencial acionável.</w:t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lastRenderedPageBreak/>
        <w:t>3 MÉTODOS DE INTELIGÊNCIA ARTIFICIAL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3.1 Justificativa da escolha</w:t>
      </w:r>
    </w:p>
    <w:p w:rsidR="00B46D56" w:rsidRDefault="008B7878">
      <w:pPr>
        <w:spacing w:after="120"/>
        <w:ind w:firstLine="709"/>
      </w:pPr>
      <w:r>
        <w:t xml:space="preserve">As heurísticas construtivas clássicas de roteirização em armazéns — </w:t>
      </w:r>
      <w:r>
        <w:rPr>
          <w:i/>
        </w:rPr>
        <w:t>S-shape</w:t>
      </w:r>
      <w:r>
        <w:t xml:space="preserve">, </w:t>
      </w:r>
      <w:r>
        <w:rPr>
          <w:i/>
        </w:rPr>
        <w:t>return</w:t>
      </w:r>
      <w:r>
        <w:t xml:space="preserve">, </w:t>
      </w:r>
      <w:r>
        <w:rPr>
          <w:i/>
        </w:rPr>
        <w:t>largest gap</w:t>
      </w:r>
      <w:r>
        <w:t xml:space="preserve"> e </w:t>
      </w:r>
      <w:r>
        <w:rPr>
          <w:i/>
        </w:rPr>
        <w:t>combined</w:t>
      </w:r>
      <w:r>
        <w:t xml:space="preserve"> — têm custo computacional despre</w:t>
      </w:r>
      <w:r>
        <w:t>zível e são adequadas a layouts de bloco único com armazenagem aleatória, mas seu desempenho degrada quando há muitos corredores e armazenagem orientada por classe. Como a instância possui 12 corredores e endereçamento estático por categoria, situa-se just</w:t>
      </w:r>
      <w:r>
        <w:t>amente na faixa em que essas heurísticas são mais frágeis — o que torna a comparação pertinente.</w:t>
      </w:r>
    </w:p>
    <w:p w:rsidR="00B46D56" w:rsidRDefault="008B7878">
      <w:pPr>
        <w:spacing w:after="120"/>
        <w:ind w:firstLine="709"/>
      </w:pPr>
      <w:r>
        <w:t>A otimização por colônia de formigas (ACO), formalizada por Dorigo e Stützle (2004), é adequada por três razões: constrói soluções de forma incremental, permit</w:t>
      </w:r>
      <w:r>
        <w:t>indo interromper a busca a qualquer momento e ainda dispor de rota válida; mantém memória adaptativa na forma de trilhas de feromônio; e reage bem a alterações em tempo real, pois a estrutura de feromônio acumulada dispensa reotimização a partir do zero. A</w:t>
      </w:r>
      <w:r>
        <w:t xml:space="preserve"> aplicação específica é respaldada por De Santis </w:t>
      </w:r>
      <w:r>
        <w:rPr>
          <w:i/>
        </w:rPr>
        <w:t>et al.</w:t>
      </w:r>
      <w:r>
        <w:t xml:space="preserve"> (2018), que propuseram o algoritmo FW-ACO combinando Floyd–Warshall com colônia de formigas para minimizar a distância percorrida por separadores em armazéns manuais, obtendo desempenho superior ao da</w:t>
      </w:r>
      <w:r>
        <w:t>s heurísticas tradicionais. O algoritmo genético (AG), proposto por Holland (1975), atua na formação de lotes, para a qual sua representação por cromossomos de atribuição é naturalmente adequada.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3.2 Abordagem A — algoritmo genético e colônia de formigas</w:t>
      </w:r>
    </w:p>
    <w:p w:rsidR="00B46D56" w:rsidRDefault="008B7878">
      <w:pPr>
        <w:spacing w:after="120"/>
        <w:ind w:firstLine="709"/>
      </w:pPr>
      <w:r>
        <w:rPr>
          <w:b/>
        </w:rPr>
        <w:t>F</w:t>
      </w:r>
      <w:r>
        <w:rPr>
          <w:b/>
        </w:rPr>
        <w:t>ormação de lotes (AG).</w:t>
      </w:r>
      <w:r>
        <w:t xml:space="preserve"> O cromossomo é um vetor de inteiros de comprimento igual ao número de pedidos da onda, no qual a posição i indica o lote atribuído ao pedido i. A função de aptidão soma a distância estimada de todos os lotes e acrescenta uma penalida</w:t>
      </w:r>
      <w:r>
        <w:t xml:space="preserve">de proporcional ao excesso de capacidade. Empregam-se seleção por torneio, </w:t>
      </w:r>
      <w:r>
        <w:rPr>
          <w:i/>
        </w:rPr>
        <w:t>crossover</w:t>
      </w:r>
      <w:r>
        <w:t xml:space="preserve"> uniforme, mutação por realocação de pedidos e elitismo. A população inicial contém um indivíduo semeado com a solução FIFO vigente, garantindo que o algoritmo nunca entreg</w:t>
      </w:r>
      <w:r>
        <w:t>ue resultado pior que o atual.</w:t>
      </w:r>
    </w:p>
    <w:p w:rsidR="00B46D56" w:rsidRDefault="008B7878">
      <w:pPr>
        <w:spacing w:after="120"/>
        <w:ind w:firstLine="709"/>
      </w:pPr>
      <w:r>
        <w:rPr>
          <w:b/>
        </w:rPr>
        <w:lastRenderedPageBreak/>
        <w:t>Decisão de projeto.</w:t>
      </w:r>
      <w:r>
        <w:t xml:space="preserve"> A aptidão é avaliada com o estimador rápido (</w:t>
      </w:r>
      <w:r>
        <w:rPr>
          <w:i/>
        </w:rPr>
        <w:t>S-shape</w:t>
      </w:r>
      <w:r>
        <w:t>), não com o ACO. Rodar a colônia de formigas para cada um dos milhares de cromossomos avaliados ao longo das gerações seria proibitivo. O ACO entra depo</w:t>
      </w:r>
      <w:r>
        <w:t xml:space="preserve">is, uma única vez, sobre os lotes já formados. Essa separação entre </w:t>
      </w:r>
      <w:r>
        <w:rPr>
          <w:b/>
        </w:rPr>
        <w:t>avaliar barato</w:t>
      </w:r>
      <w:r>
        <w:t xml:space="preserve"> e </w:t>
      </w:r>
      <w:r>
        <w:rPr>
          <w:b/>
        </w:rPr>
        <w:t>refinar caro</w:t>
      </w:r>
      <w:r>
        <w:t xml:space="preserve"> é o que mantém o pipeline dentro da janela de segundos exigida pela operação — e é também, como se verá na Seção 5, a origem de uma limitação relevante do res</w:t>
      </w:r>
      <w:r>
        <w:t>ultado.</w:t>
      </w:r>
    </w:p>
    <w:p w:rsidR="00B46D56" w:rsidRDefault="008B7878">
      <w:pPr>
        <w:spacing w:after="120"/>
        <w:ind w:firstLine="709"/>
      </w:pPr>
      <w:r>
        <w:rPr>
          <w:b/>
        </w:rPr>
        <w:t>Roteirização (ACO).</w:t>
      </w:r>
      <w:r>
        <w:t xml:space="preserve"> Para cada lote, um conjunto de formigas artificiais constrói rotas escolhendo o próximo endereço com probabilidade proporcional a τ^α · η^β, em que τ é a intensidade de feromônio na aresta, η é o inverso da distância e os expoen</w:t>
      </w:r>
      <w:r>
        <w:t xml:space="preserve">tes α e β ponderam memória coletiva e visibilidade local. A cada iteração o feromônio evapora à taxa ρ e é reforçado nas arestas da melhor rota encontrada, em estratégia elitista. O feromônio inicial é calibrado pelo custo da solução </w:t>
      </w:r>
      <w:r>
        <w:rPr>
          <w:i/>
        </w:rPr>
        <w:t>S-shape</w:t>
      </w:r>
      <w:r>
        <w:t>, o que acelera</w:t>
      </w:r>
      <w:r>
        <w:t xml:space="preserve"> a convergência.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3.3 Abordagem B — previsão de demanda e endereçamento dinâmico</w:t>
      </w:r>
    </w:p>
    <w:p w:rsidR="00B46D56" w:rsidRDefault="008B7878">
      <w:pPr>
        <w:spacing w:after="120"/>
        <w:ind w:firstLine="709"/>
      </w:pPr>
      <w:r>
        <w:t>A segunda abordagem ataca a causa a montante: se os itens de maior giro estiverem próximos à doca, a rota já nasce curta, independentemente do roteirizador. O framework classif</w:t>
      </w:r>
      <w:r>
        <w:t>ica cada SKU pelas métricas ADI e CV² propostas por Syntetos e Boylan (2005), aplica previsão adequada a cada segmento — Holt-Winters e ARIMA para séries regulares, Croston (1972) e sua variante SBA para séries intermitentes —, recalcula a curva ABC com ba</w:t>
      </w:r>
      <w:r>
        <w:t>se na demanda prevista e resolve a realocação de endereços como problema de designação por programação inteira.</w:t>
      </w:r>
    </w:p>
    <w:p w:rsidR="00B46D56" w:rsidRDefault="008B7878">
      <w:pPr>
        <w:spacing w:after="120"/>
        <w:ind w:firstLine="709"/>
      </w:pPr>
      <w:r>
        <w:t>Optou-se por aprofundar a Abordagem A nesta atividade por duas razões. A primeira é metodológica: o ciclo operacional produz resultado mensuráve</w:t>
      </w:r>
      <w:r>
        <w:t xml:space="preserve">l </w:t>
      </w:r>
      <w:r>
        <w:rPr>
          <w:b/>
        </w:rPr>
        <w:t>sem</w:t>
      </w:r>
      <w:r>
        <w:t xml:space="preserve"> exigir movimentação física de estoque, o que permite avaliação puramente computacional. A segunda é de sequenciamento: a Abordagem B só faz sentido depois que a roteirização estiver otimizada, pois de outro modo não há como distinguir o ganho do ende</w:t>
      </w:r>
      <w:r>
        <w:t>reçamento do ganho da rota. As duas permanecem complementares, e a Seção 5 quantifica o que resta a ser capturado pela Abordagem B.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lastRenderedPageBreak/>
        <w:t xml:space="preserve">Quadro 3 – </w:t>
      </w:r>
      <w:r>
        <w:rPr>
          <w:sz w:val="20"/>
        </w:rPr>
        <w:t>Parâmetros dos algoritmos utilizados nos experimentos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2721"/>
      </w:tblGrid>
      <w:tr w:rsidR="00B46D56">
        <w:tc>
          <w:tcPr>
            <w:tcW w:w="238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Algoritmo</w:t>
            </w: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Algoritmo genético</w:t>
            </w: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população / </w:t>
            </w:r>
            <w:r>
              <w:rPr>
                <w:sz w:val="18"/>
              </w:rPr>
              <w:t>gerações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40 / 60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seleção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torneio de 3 indivíduos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crossover / mutação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uniforme / 15% por indivíduo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elitismo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2 indivíduos preservados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Colônia de formigas</w:t>
            </w: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formigas / iterações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20 / 60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α (feromônio) / β (visibilidade)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1,0 / 3,0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ρ (evaporação)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0,10</w:t>
            </w:r>
          </w:p>
        </w:tc>
      </w:tr>
      <w:tr w:rsidR="00B46D56">
        <w:tc>
          <w:tcPr>
            <w:tcW w:w="2381" w:type="dxa"/>
            <w:vAlign w:val="center"/>
          </w:tcPr>
          <w:p w:rsidR="00B46D56" w:rsidRDefault="00B46D56">
            <w:pPr>
              <w:spacing w:before="40" w:after="40" w:line="240" w:lineRule="auto"/>
              <w:jc w:val="left"/>
            </w:pPr>
          </w:p>
        </w:tc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reforço</w:t>
            </w:r>
          </w:p>
        </w:tc>
        <w:tc>
          <w:tcPr>
            <w:tcW w:w="2721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elitista, sobre a melhor rota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(2026).</w:t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t>4 IMPLEMENTAÇÃO E TESTES COMPUTACIONAIS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4.1 Ambiente e estrutura</w:t>
      </w:r>
    </w:p>
    <w:p w:rsidR="00B46D56" w:rsidRDefault="008B7878">
      <w:pPr>
        <w:spacing w:after="120"/>
        <w:ind w:firstLine="709"/>
      </w:pPr>
      <w:r>
        <w:t xml:space="preserve">O sistema foi implementado em </w:t>
      </w:r>
      <w:r>
        <w:rPr>
          <w:b/>
        </w:rPr>
        <w:t>Python</w:t>
      </w:r>
      <w:r>
        <w:t>, com numpy para a álgebra matricial, pandas para a consolidação dos resultados e matplotlib</w:t>
      </w:r>
      <w:r>
        <w:t xml:space="preserve"> para as saídas gráficas. O código está organizado em um caderno Jupyter (</w:t>
      </w:r>
      <w:r>
        <w:rPr>
          <w:i/>
        </w:rPr>
        <w:t>notebook</w:t>
      </w:r>
      <w:r>
        <w:t xml:space="preserve">) executado de ponta a ponta, entregue junto a este relatório, no qual cada seção corresponde a uma etapa do pipeline. Nenhuma biblioteca de otimização pronta foi utilizada: </w:t>
      </w:r>
      <w:r>
        <w:t>o algoritmo genético e a colônia de formigas foram escritos do zero, de modo que todos os mecanismos discutidos na Seção 3 são verificáveis no código.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4.2 Grafo do armazém e matriz de distâncias</w:t>
      </w:r>
    </w:p>
    <w:p w:rsidR="00B46D56" w:rsidRDefault="008B7878">
      <w:pPr>
        <w:spacing w:after="120"/>
        <w:ind w:firstLine="709"/>
      </w:pPr>
      <w:r>
        <w:t>O grafo resultante tem 505 nós. A matriz de distâncias mínima</w:t>
      </w:r>
      <w:r>
        <w:t xml:space="preserve">s é obtida por Floyd–Warshall vetorizado: o laço percorre apenas o nó intermediário, e a comparação de todos os pares é feita de uma vez por operações matriciais, conforme o Quadro 4. O cálculo levou </w:t>
      </w:r>
      <w:r>
        <w:rPr>
          <w:b/>
        </w:rPr>
        <w:t>1,5 s</w:t>
      </w:r>
      <w:r>
        <w:t xml:space="preserve"> e é executado uma única vez, fora de linha — só pr</w:t>
      </w:r>
      <w:r>
        <w:t>ecisa ser refeito quando o layout ou o endereçamento mudam.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4 – </w:t>
      </w:r>
      <w:r>
        <w:rPr>
          <w:sz w:val="20"/>
        </w:rPr>
        <w:t>Núcleo do algoritmo de Floyd–Warshall vetorizado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D = A.copy()                    # A: matriz de adjacência do armazém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for k in range(N_NOS):          # k: nó intermediário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 xml:space="preserve">    D = np.mi</w:t>
      </w:r>
      <w:r>
        <w:rPr>
          <w:rFonts w:ascii="Consolas" w:eastAsia="Consolas" w:hAnsi="Consolas"/>
          <w:sz w:val="16"/>
        </w:rPr>
        <w:t>nimum(D, D[:, k, None] + D[None, k, :])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 xml:space="preserve"> 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assert np.isfinite(D).all(), "grafo desconexo"</w:t>
      </w:r>
    </w:p>
    <w:p w:rsidR="00B46D56" w:rsidRDefault="008B7878">
      <w:pPr>
        <w:spacing w:before="120" w:after="240" w:line="240" w:lineRule="auto"/>
        <w:jc w:val="left"/>
      </w:pPr>
      <w:r>
        <w:rPr>
          <w:sz w:val="18"/>
        </w:rPr>
        <w:t>Fonte: o autor (2026).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lastRenderedPageBreak/>
        <w:t>4.3 Construção das rotas pela colônia de formigas</w:t>
      </w:r>
    </w:p>
    <w:p w:rsidR="00B46D56" w:rsidRDefault="008B7878">
      <w:pPr>
        <w:spacing w:after="120"/>
        <w:ind w:firstLine="709"/>
      </w:pPr>
      <w:r>
        <w:t xml:space="preserve">O Quadro 5 reproduz o passo central do ACO: a escolha probabilística do próximo endereço. A </w:t>
      </w:r>
      <w:r>
        <w:t>cada decisão, o peso de cada endereço ainda não visitado combina o feromônio acumulado na aresta e a visibilidade local, e o sorteio é feito proporcionalmente a esses pesos — é essa aleatoriedade dirigida que permite escapar de mínimos locais.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5 – </w:t>
      </w:r>
      <w:r>
        <w:rPr>
          <w:sz w:val="20"/>
        </w:rPr>
        <w:t>R</w:t>
      </w:r>
      <w:r>
        <w:rPr>
          <w:sz w:val="20"/>
        </w:rPr>
        <w:t>egra de transição probabilística de uma formiga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livres = np.flatnonzero(~visitado)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peso = (tau[atual, livres] ** ACO_ALFA) * (eta[atual, livres] ** ACO_BETA)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prox = livres[g.choice(len(livres), p=peso / peso.sum())]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 xml:space="preserve"> 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 xml:space="preserve">tau *= (1.0 - ACO_RHO)                </w:t>
      </w:r>
      <w:r>
        <w:rPr>
          <w:rFonts w:ascii="Consolas" w:eastAsia="Consolas" w:hAnsi="Consolas"/>
          <w:sz w:val="16"/>
        </w:rPr>
        <w:t xml:space="preserve">     # evaporação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>for a, b in zip(melhor[:-1], melhor[1:]):  # reforço elitista</w:t>
      </w:r>
    </w:p>
    <w:p w:rsidR="00B46D56" w:rsidRDefault="008B7878">
      <w:pPr>
        <w:spacing w:line="240" w:lineRule="auto"/>
        <w:ind w:left="340"/>
        <w:jc w:val="left"/>
      </w:pPr>
      <w:r>
        <w:rPr>
          <w:rFonts w:ascii="Consolas" w:eastAsia="Consolas" w:hAnsi="Consolas"/>
          <w:sz w:val="16"/>
        </w:rPr>
        <w:t xml:space="preserve">    tau[a, b] += ACO_Q / melhor_custo</w:t>
      </w:r>
    </w:p>
    <w:p w:rsidR="00B46D56" w:rsidRDefault="008B7878">
      <w:pPr>
        <w:spacing w:before="120" w:after="240" w:line="240" w:lineRule="auto"/>
        <w:jc w:val="left"/>
      </w:pPr>
      <w:r>
        <w:rPr>
          <w:sz w:val="18"/>
        </w:rPr>
        <w:t>Fonte: o autor (2026).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4.4 Teste 1 — exemplo didático</w:t>
      </w:r>
    </w:p>
    <w:p w:rsidR="00B46D56" w:rsidRDefault="008B7878">
      <w:pPr>
        <w:spacing w:after="120"/>
        <w:ind w:firstLine="709"/>
      </w:pPr>
      <w:r>
        <w:t>Um único lote, com 15 endereços distribuídos por 8 corredores, torna visível o que o</w:t>
      </w:r>
      <w:r>
        <w:t xml:space="preserve"> ACO faz de diferente. A heurística </w:t>
      </w:r>
      <w:r>
        <w:rPr>
          <w:i/>
        </w:rPr>
        <w:t>S-shape</w:t>
      </w:r>
      <w:r>
        <w:t xml:space="preserve"> produziu um percurso de </w:t>
      </w:r>
      <w:r>
        <w:rPr>
          <w:b/>
        </w:rPr>
        <w:t>434,4 m</w:t>
      </w:r>
      <w:r>
        <w:t xml:space="preserve">; o ACO, de </w:t>
      </w:r>
      <w:r>
        <w:rPr>
          <w:b/>
        </w:rPr>
        <w:t>345,6 m</w:t>
      </w:r>
      <w:r>
        <w:t xml:space="preserve"> — uma redução de </w:t>
      </w:r>
      <w:r>
        <w:rPr>
          <w:b/>
        </w:rPr>
        <w:t>20,4%</w:t>
      </w:r>
      <w:r>
        <w:t xml:space="preserve"> no mesmo lote. A Figura 1 mostra os dois percursos sobre a planta do armazém, desenhados com a geometria real de caminhamento: o separador</w:t>
      </w:r>
      <w:r>
        <w:t xml:space="preserve"> não atravessa as estruturas porta-paletes, só circula pelos corredores e pelas duas transversais.</w:t>
      </w:r>
    </w:p>
    <w:p w:rsidR="00B46D56" w:rsidRDefault="008B7878">
      <w:pPr>
        <w:keepNext/>
        <w:spacing w:before="240" w:after="60" w:line="240" w:lineRule="auto"/>
        <w:jc w:val="center"/>
      </w:pPr>
      <w:r>
        <w:rPr>
          <w:b/>
          <w:sz w:val="20"/>
        </w:rPr>
        <w:lastRenderedPageBreak/>
        <w:t xml:space="preserve">Figura 1 – </w:t>
      </w:r>
      <w:r>
        <w:rPr>
          <w:sz w:val="20"/>
        </w:rPr>
        <w:t>Rotas de separação de um mesmo lote: heurística S-shape e ACO</w:t>
      </w:r>
    </w:p>
    <w:p w:rsidR="00B46D56" w:rsidRDefault="008B7878">
      <w:pPr>
        <w:spacing w:after="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3129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ot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56" w:rsidRDefault="008B7878">
      <w:pPr>
        <w:spacing w:after="240" w:line="240" w:lineRule="auto"/>
        <w:jc w:val="center"/>
      </w:pPr>
      <w:r>
        <w:rPr>
          <w:sz w:val="18"/>
        </w:rPr>
        <w:t>Fonte: o autor (2026), a partir da execução do notebook.</w:t>
      </w:r>
    </w:p>
    <w:p w:rsidR="00B46D56" w:rsidRDefault="008B7878">
      <w:pPr>
        <w:spacing w:after="120"/>
        <w:ind w:firstLine="709"/>
      </w:pPr>
      <w:r>
        <w:t xml:space="preserve">A diferença é estrutural. A </w:t>
      </w:r>
      <w:r>
        <w:rPr>
          <w:i/>
        </w:rPr>
        <w:t>S-shape</w:t>
      </w:r>
      <w:r>
        <w:t xml:space="preserve"> obriga o separador a percorrer integralmente cada corredor visitado, mesmo quando há um único item no início dele; o ACO entra e sai pelo mesmo lado sempre que isso for vantajoso, e agrupa as visitas de modo a reduzir os</w:t>
      </w:r>
      <w:r>
        <w:t xml:space="preserve"> retornos.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4.5 Teste 2 — experimento fatorial</w:t>
      </w:r>
    </w:p>
    <w:p w:rsidR="00B46D56" w:rsidRDefault="008B7878">
      <w:pPr>
        <w:spacing w:after="120"/>
        <w:ind w:firstLine="709"/>
      </w:pPr>
      <w:r>
        <w:t xml:space="preserve">Uma onda de 60 pedidos, totalizando 214 linhas em 13 lotes, foi resolvida nas </w:t>
      </w:r>
      <w:r>
        <w:rPr>
          <w:b/>
        </w:rPr>
        <w:t>quatro combinações</w:t>
      </w:r>
      <w:r>
        <w:t xml:space="preserve"> possíveis de agrupamento (FIFO ou AG) e roteirização (</w:t>
      </w:r>
      <w:r>
        <w:rPr>
          <w:i/>
        </w:rPr>
        <w:t>S-shape</w:t>
      </w:r>
      <w:r>
        <w:t xml:space="preserve"> ou ACO). Comparar as quatro, e não apenas a linha d</w:t>
      </w:r>
      <w:r>
        <w:t>e base contra a proposta, permite separar quanto do ganho vem de agrupar melhor e quanto vem de roteirizar melhor — informação gerencial relevante, porque as duas etapas têm custos de implantação distintos. O número de lotes foi fixado no valor produzido p</w:t>
      </w:r>
      <w:r>
        <w:t>elo FIFO, de modo que a comparação isole a composição dos lotes e não o uso de mais recursos.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t xml:space="preserve">Quadro 6 – </w:t>
      </w:r>
      <w:r>
        <w:rPr>
          <w:sz w:val="20"/>
        </w:rPr>
        <w:t>Resultado do experimento fatorial sobre uma onda de 60 pedidos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1587"/>
        <w:gridCol w:w="1474"/>
      </w:tblGrid>
      <w:tr w:rsidR="00B46D56"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Configuração</w:t>
            </w:r>
          </w:p>
        </w:tc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Distância total (m)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Por pedido (m)</w:t>
            </w:r>
          </w:p>
        </w:tc>
        <w:tc>
          <w:tcPr>
            <w:tcW w:w="1474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Redução</w:t>
            </w:r>
          </w:p>
        </w:tc>
      </w:tr>
      <w:tr w:rsidR="00B46D56"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FIFO + S-shape (linha de base)</w:t>
            </w:r>
          </w:p>
        </w:tc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5.602,2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93,4</w:t>
            </w:r>
          </w:p>
        </w:tc>
        <w:tc>
          <w:tcPr>
            <w:tcW w:w="1474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B46D56"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FIFO + ACO</w:t>
            </w:r>
          </w:p>
        </w:tc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4.860,0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81,0</w:t>
            </w:r>
          </w:p>
        </w:tc>
        <w:tc>
          <w:tcPr>
            <w:tcW w:w="1474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13,2%</w:t>
            </w:r>
          </w:p>
        </w:tc>
      </w:tr>
      <w:tr w:rsidR="00B46D56"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AG + S-shape</w:t>
            </w:r>
          </w:p>
        </w:tc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5.400,6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90,0</w:t>
            </w:r>
          </w:p>
        </w:tc>
        <w:tc>
          <w:tcPr>
            <w:tcW w:w="1474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3,6%</w:t>
            </w:r>
          </w:p>
        </w:tc>
      </w:tr>
      <w:tr w:rsidR="00B46D56">
        <w:tc>
          <w:tcPr>
            <w:tcW w:w="3402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lastRenderedPageBreak/>
              <w:t>AG + ACO (proposto)</w:t>
            </w:r>
          </w:p>
        </w:tc>
        <w:tc>
          <w:tcPr>
            <w:tcW w:w="204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4.833,2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80,6</w:t>
            </w:r>
          </w:p>
        </w:tc>
        <w:tc>
          <w:tcPr>
            <w:tcW w:w="1474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13,7%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(2026), a partir da execução do notebook.</w:t>
      </w:r>
    </w:p>
    <w:p w:rsidR="00B46D56" w:rsidRDefault="008B7878">
      <w:pPr>
        <w:spacing w:after="120"/>
        <w:ind w:firstLine="709"/>
      </w:pPr>
      <w:r>
        <w:t xml:space="preserve">O resultado é revelador e contraria a expectativa inicial: </w:t>
      </w:r>
      <w:r>
        <w:rPr>
          <w:b/>
        </w:rPr>
        <w:t xml:space="preserve">praticamente todo o </w:t>
      </w:r>
      <w:r>
        <w:rPr>
          <w:b/>
        </w:rPr>
        <w:t>ganho vem da roteirização</w:t>
      </w:r>
      <w:r>
        <w:t>. O ACO sozinho, sobre os lotes FIFO existentes, reduz 13,2% da distância; o AG sozinho reduz apenas 3,6%; e o pipeline completo chega a 13,7%, ou seja, apenas 0,5 ponto percentual além do que o ACO já entregava. A Figura 2 apresen</w:t>
      </w:r>
      <w:r>
        <w:t>ta esse comparativo ao lado das curvas de convergência dos dois algoritmos.</w:t>
      </w:r>
    </w:p>
    <w:p w:rsidR="00B46D56" w:rsidRDefault="008B7878">
      <w:pPr>
        <w:keepNext/>
        <w:spacing w:before="240" w:after="60" w:line="240" w:lineRule="auto"/>
        <w:jc w:val="center"/>
      </w:pPr>
      <w:r>
        <w:rPr>
          <w:b/>
          <w:sz w:val="20"/>
        </w:rPr>
        <w:t xml:space="preserve">Figura 2 – </w:t>
      </w:r>
      <w:r>
        <w:rPr>
          <w:sz w:val="20"/>
        </w:rPr>
        <w:t>Convergência dos algoritmos e contribuição isolada de cada componente</w:t>
      </w:r>
    </w:p>
    <w:p w:rsidR="00B46D56" w:rsidRDefault="008B7878">
      <w:pPr>
        <w:spacing w:after="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1913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vergenc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56" w:rsidRDefault="008B7878">
      <w:pPr>
        <w:spacing w:after="240" w:line="240" w:lineRule="auto"/>
        <w:jc w:val="center"/>
      </w:pPr>
      <w:r>
        <w:rPr>
          <w:sz w:val="18"/>
        </w:rPr>
        <w:t>Fonte: o autor (2026), a partir da execução do notebook.</w:t>
      </w:r>
    </w:p>
    <w:p w:rsidR="00B46D56" w:rsidRDefault="008B7878">
      <w:pPr>
        <w:spacing w:after="120"/>
        <w:ind w:firstLine="709"/>
      </w:pPr>
      <w:r>
        <w:t>As curvas de convergência explicam parte</w:t>
      </w:r>
      <w:r>
        <w:t xml:space="preserve"> do fenômeno. O ACO estabiliza nas primeiras iterações para lotes desse tamanho, o que confirma sua adequação à restrição de resposta em segundos. O AG, por sua vez, evolui em degraus ao longo de todas as 60 gerações, mas o ganho absoluto que consegue extr</w:t>
      </w:r>
      <w:r>
        <w:t xml:space="preserve">air é pequeno: a aptidão desce de forma consistente, porém a métrica que ela otimiza é a distância </w:t>
      </w:r>
      <w:r>
        <w:rPr>
          <w:i/>
        </w:rPr>
        <w:t>estimada pela S-shape</w:t>
      </w:r>
      <w:r>
        <w:t xml:space="preserve">, não a distância final obtida pelo ACO. O AG está, portanto, otimizando o alvo errado — limitação diretamente decorrente da decisão de </w:t>
      </w:r>
      <w:r>
        <w:t>projeto explicitada na Seção 3.2.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4.6 Teste 3 — escalabilidade e estabilidade</w:t>
      </w:r>
    </w:p>
    <w:p w:rsidR="00B46D56" w:rsidRDefault="008B7878">
      <w:pPr>
        <w:spacing w:after="120"/>
        <w:ind w:firstLine="709"/>
      </w:pPr>
      <w:r>
        <w:t>Um ganho medido em uma única onda pode ser fruto do acaso. O experimento foi repetido em três tamanhos de onda, com 8 réplicas independentes cada, totalizando 24 execuções comple</w:t>
      </w:r>
      <w:r>
        <w:t>tas do pipeline em 167 segundos. O Quadro 7 e a Figura 3 apresentam a média e a dispersão da redução obtida.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lastRenderedPageBreak/>
        <w:t xml:space="preserve">Quadro 7 – </w:t>
      </w:r>
      <w:r>
        <w:rPr>
          <w:sz w:val="20"/>
        </w:rPr>
        <w:t>Redução da distância percorrida por tamanho de onda (8 réplicas)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B46D56"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Tamanho da onda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Redução média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Desvio-padrão</w:t>
            </w:r>
          </w:p>
        </w:tc>
      </w:tr>
      <w:tr w:rsidR="00B46D56"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30 pedidos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17,2%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3,3 p.p.</w:t>
            </w:r>
          </w:p>
        </w:tc>
      </w:tr>
      <w:tr w:rsidR="00B46D56"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60 pedidos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14,8%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2,4 p.p.</w:t>
            </w:r>
          </w:p>
        </w:tc>
      </w:tr>
      <w:tr w:rsidR="00B46D56"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120 pedidos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14,5%</w:t>
            </w:r>
          </w:p>
        </w:tc>
        <w:tc>
          <w:tcPr>
            <w:tcW w:w="283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1,6 p.p.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(2026), a partir da execução do notebook.</w:t>
      </w:r>
    </w:p>
    <w:p w:rsidR="00B46D56" w:rsidRDefault="008B7878">
      <w:pPr>
        <w:keepNext/>
        <w:spacing w:before="240" w:after="60" w:line="240" w:lineRule="auto"/>
        <w:jc w:val="center"/>
      </w:pPr>
      <w:r>
        <w:rPr>
          <w:b/>
          <w:sz w:val="20"/>
        </w:rPr>
        <w:t xml:space="preserve">Figura 3 – </w:t>
      </w:r>
      <w:r>
        <w:rPr>
          <w:sz w:val="20"/>
        </w:rPr>
        <w:t>Distância percorrida e ganho percentual por tamanho de onda</w:t>
      </w:r>
    </w:p>
    <w:p w:rsidR="00B46D56" w:rsidRDefault="008B7878">
      <w:pPr>
        <w:spacing w:after="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19915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scalabilid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56" w:rsidRDefault="008B7878">
      <w:pPr>
        <w:spacing w:after="240" w:line="240" w:lineRule="auto"/>
        <w:jc w:val="center"/>
      </w:pPr>
      <w:r>
        <w:rPr>
          <w:sz w:val="18"/>
        </w:rPr>
        <w:t>Fonte: o autor (2026), a partir da execução do notebook.</w:t>
      </w:r>
    </w:p>
    <w:p w:rsidR="00B46D56" w:rsidRDefault="008B7878">
      <w:pPr>
        <w:spacing w:after="120"/>
        <w:ind w:firstLine="709"/>
      </w:pPr>
      <w:r>
        <w:t xml:space="preserve">O ganho se sustenta em todas as faixas e a dispersão </w:t>
      </w:r>
      <w:r>
        <w:rPr>
          <w:b/>
        </w:rPr>
        <w:t>cai</w:t>
      </w:r>
      <w:r>
        <w:t xml:space="preserve"> conforme a onda cresce, de 3,3 para 1,6 pontos percentuais. Ondas maiores produzem lotes mais densos, nos quais há mais oportunidades de reordenação e o resultado depende menos do sorteio dos pedidos</w:t>
      </w:r>
      <w:r>
        <w:t>. Para a operação isso significa previsibilidade: o ganho pode ser incorporado ao planejamento sem margem de segurança expressiva.</w:t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t>5 RESULTADOS E ANÁLISE DOS INDICADORES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5.1 Dos metros aos indicadores de negócio</w:t>
      </w:r>
    </w:p>
    <w:p w:rsidR="00B46D56" w:rsidRDefault="008B7878">
      <w:pPr>
        <w:spacing w:after="120"/>
        <w:ind w:firstLine="709"/>
      </w:pPr>
      <w:r>
        <w:t>A redução de distância só interessa à gestão</w:t>
      </w:r>
      <w:r>
        <w:t xml:space="preserve"> depois de traduzida em produtividade e custo. A conversão parte dos parâmetros operacionais do CD: 46.000 linhas separadas por dia, custo atual de R$ 0,84 por linha, deslocamento a 1,1 m/s e cerca de 55% do tempo de tarefa consumido em deslocamento. Adota</w:t>
      </w:r>
      <w:r>
        <w:t xml:space="preserve">-se deliberadamente a hipótese </w:t>
      </w:r>
      <w:r>
        <w:rPr>
          <w:b/>
        </w:rPr>
        <w:t>conservadora</w:t>
      </w:r>
      <w:r>
        <w:t xml:space="preserve"> de que o ganho incide apenas sobre a parcela de deslocamento — as demais atividades da tarefa, como coleta e conferência, permanecem inalteradas.</w:t>
      </w:r>
    </w:p>
    <w:p w:rsidR="00B46D56" w:rsidRDefault="008B7878">
      <w:pPr>
        <w:keepNext/>
        <w:spacing w:before="240" w:after="60" w:line="240" w:lineRule="auto"/>
        <w:jc w:val="left"/>
      </w:pPr>
      <w:r>
        <w:rPr>
          <w:b/>
          <w:sz w:val="20"/>
        </w:rPr>
        <w:lastRenderedPageBreak/>
        <w:t xml:space="preserve">Quadro 8 – </w:t>
      </w:r>
      <w:r>
        <w:rPr>
          <w:sz w:val="20"/>
        </w:rPr>
        <w:t>Indicadores de desempenho: linha de base e resultado me</w:t>
      </w:r>
      <w:r>
        <w:rPr>
          <w:sz w:val="20"/>
        </w:rPr>
        <w:t>dido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1701"/>
        <w:gridCol w:w="1701"/>
        <w:gridCol w:w="1587"/>
      </w:tblGrid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Linha de base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Com AG + ACO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Variação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Distância média por pedido (m)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14,8%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Tempo de deslocamento por pedido (s)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14,8%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Produtividade (linhas/h/operador)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+8,9%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Custo por linha separada (R$)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0,84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0,77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8,1%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 xml:space="preserve">Economia </w:t>
            </w:r>
            <w:r>
              <w:rPr>
                <w:sz w:val="18"/>
              </w:rPr>
              <w:t>diária (R$)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3.145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B46D56">
        <w:tc>
          <w:tcPr>
            <w:tcW w:w="3515" w:type="dxa"/>
            <w:vAlign w:val="center"/>
          </w:tcPr>
          <w:p w:rsidR="00B46D56" w:rsidRDefault="008B7878">
            <w:pPr>
              <w:spacing w:before="40" w:after="40" w:line="240" w:lineRule="auto"/>
              <w:jc w:val="left"/>
            </w:pPr>
            <w:r>
              <w:rPr>
                <w:sz w:val="18"/>
              </w:rPr>
              <w:t>Economia anual (R$)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943.589</w:t>
            </w:r>
          </w:p>
        </w:tc>
        <w:tc>
          <w:tcPr>
            <w:tcW w:w="1587" w:type="dxa"/>
            <w:vAlign w:val="center"/>
          </w:tcPr>
          <w:p w:rsidR="00B46D56" w:rsidRDefault="008B7878">
            <w:pPr>
              <w:spacing w:before="40" w:after="4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</w:tbl>
    <w:p w:rsidR="00B46D56" w:rsidRDefault="008B7878">
      <w:pPr>
        <w:spacing w:before="60" w:after="240" w:line="240" w:lineRule="auto"/>
        <w:jc w:val="left"/>
      </w:pPr>
      <w:r>
        <w:rPr>
          <w:sz w:val="18"/>
        </w:rPr>
        <w:t>Fonte: o autor (2026), a partir da execução do notebook.</w:t>
      </w:r>
    </w:p>
    <w:p w:rsidR="00B46D56" w:rsidRDefault="008B7878">
      <w:pPr>
        <w:spacing w:after="120"/>
        <w:ind w:firstLine="709"/>
      </w:pPr>
      <w:r>
        <w:t xml:space="preserve">A economia anual estimada, de aproximadamente </w:t>
      </w:r>
      <w:r>
        <w:rPr>
          <w:b/>
        </w:rPr>
        <w:t>R$ 943.589</w:t>
      </w:r>
      <w:r>
        <w:t>, decorre exclusivamente de mudança algorítmica: nenhum equipamento novo, nenhuma obra,</w:t>
      </w:r>
      <w:r>
        <w:t xml:space="preserve"> nenhuma contratação. É esse o dado que reposiciona a discussão de investimento.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5.2 O que o experimento fatorial revela</w:t>
      </w:r>
    </w:p>
    <w:p w:rsidR="00B46D56" w:rsidRDefault="008B7878">
      <w:pPr>
        <w:spacing w:after="120"/>
        <w:ind w:firstLine="709"/>
      </w:pPr>
      <w:r>
        <w:t xml:space="preserve">O achado mais importante deste trabalho não é o ganho agregado, e sim sua </w:t>
      </w:r>
      <w:r>
        <w:rPr>
          <w:b/>
        </w:rPr>
        <w:t>decomposição</w:t>
      </w:r>
      <w:r>
        <w:t>. Se o gestor precisar priorizar, os dados são in</w:t>
      </w:r>
      <w:r>
        <w:t>equívocos: implantar o ACO sobre a formação de lotes que já existe captura 13,2 dos 13,7 pontos percentuais disponíveis, ou seja, 96% do benefício total, com uma fração do esforço de integração. O algoritmo genético, na configuração testada, não se paga.</w:t>
      </w:r>
    </w:p>
    <w:p w:rsidR="00B46D56" w:rsidRDefault="008B7878">
      <w:pPr>
        <w:spacing w:after="120"/>
        <w:ind w:firstLine="709"/>
      </w:pPr>
      <w:r>
        <w:t>A</w:t>
      </w:r>
      <w:r>
        <w:t xml:space="preserve"> explicação é técnica e foi antecipada na Seção 4.5: o AG otimiza a distância estimada pela </w:t>
      </w:r>
      <w:r>
        <w:rPr>
          <w:i/>
        </w:rPr>
        <w:t>S-shape</w:t>
      </w:r>
      <w:r>
        <w:t>, enquanto o resultado final é produzido pelo ACO. As duas métricas não são perfeitamente correlacionadas, e o AG acaba refinando lotes segundo um critério q</w:t>
      </w:r>
      <w:r>
        <w:t xml:space="preserve">ue o roteirizador final não usa. Corrigir isso exigiria uma aptidão mais fiel — por exemplo, um ACO curto e barato dentro da avaliação, ou um estimador calibrado sobre rotas ACO já computadas. Registrar essa limitação é mais útil que ocultá-la: ela define </w:t>
      </w:r>
      <w:r>
        <w:t>com precisão o próximo passo de desenvolvimento.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5.3 Conciliação com a proposta original</w:t>
      </w:r>
    </w:p>
    <w:p w:rsidR="00B46D56" w:rsidRDefault="008B7878">
      <w:pPr>
        <w:spacing w:after="120"/>
        <w:ind w:firstLine="709"/>
      </w:pPr>
      <w:r>
        <w:t xml:space="preserve">A atividade anterior projetava redução de 28% na distância percorrida. O medido aqui é 14,8%. A diferença não invalida a projeção: aquele número supunha os </w:t>
      </w:r>
      <w:r>
        <w:rPr>
          <w:b/>
        </w:rPr>
        <w:t>dois</w:t>
      </w:r>
      <w:r>
        <w:t xml:space="preserve"> ciclos</w:t>
      </w:r>
      <w:r>
        <w:t xml:space="preserve"> em operação, e apenas o operacional foi implementado. O ciclo tático — reendereçamento dinâmico guiado por previsão de demanda, a Abordagem B — atua sobre uma alavanca distinta e não capturada aqui, pois nesta instância os itens de alto </w:t>
      </w:r>
      <w:r>
        <w:lastRenderedPageBreak/>
        <w:t>giro estão deliber</w:t>
      </w:r>
      <w:r>
        <w:t>adamente espalhados pelo armazém. A lacuna de cerca de 13 pontos percentuais é, portanto, uma estimativa do que ainda resta sobre a mesa, e não um erro de previsão.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5.4 Análise situacional: uma decisão concreta</w:t>
      </w:r>
    </w:p>
    <w:p w:rsidR="00B46D56" w:rsidRDefault="008B7878">
      <w:pPr>
        <w:spacing w:after="120"/>
        <w:ind w:firstLine="709"/>
      </w:pPr>
      <w:r>
        <w:t>Considere-se a situação a seguir, típica do p</w:t>
      </w:r>
      <w:r>
        <w:t>lanejamento anual da rede. A área comercial projeta crescimento de 15% no volume de pedidos de comércio eletrônico para o próximo ciclo. A operação, medindo sua produtividade atual em 62 linhas por hora por operador, conclui que não conseguirá absorver o a</w:t>
      </w:r>
      <w:r>
        <w:t>créscimo dentro da janela de corte e leva à diretoria duas alternativas: contratar uma equipe adicional para um quarto turno parcial ou investir em um sistema de separação assistida por esteiras.</w:t>
      </w:r>
    </w:p>
    <w:p w:rsidR="00B46D56" w:rsidRDefault="008B7878">
      <w:pPr>
        <w:spacing w:after="120"/>
        <w:ind w:firstLine="709"/>
      </w:pPr>
      <w:r>
        <w:t>Os resultados medidos introduzem uma terceira alternativa, a</w:t>
      </w:r>
      <w:r>
        <w:t xml:space="preserve">ntes invisível. Com o ACO implantado, a produtividade sobe para 67 linhas por hora — acréscimo de 8,9% de capacidade </w:t>
      </w:r>
      <w:r>
        <w:rPr>
          <w:b/>
        </w:rPr>
        <w:t>sem qualquer ativo novo</w:t>
      </w:r>
      <w:r>
        <w:t>, obtido apenas com integração de software ao WMS existente. Esse acréscimo cobre a maior parte do crescimento proje</w:t>
      </w:r>
      <w:r>
        <w:t>tado, adiando a decisão de investimento por pelo menos um ciclo e permitindo que ela seja retomada depois com dados reais de operação, e não com projeções. A economia anual de R$ 943.589 financia com folga o próprio projeto de integração.</w:t>
      </w:r>
    </w:p>
    <w:p w:rsidR="00B46D56" w:rsidRDefault="008B7878">
      <w:pPr>
        <w:spacing w:after="120"/>
        <w:ind w:firstLine="709"/>
      </w:pPr>
      <w:r>
        <w:t>Há ainda um efeit</w:t>
      </w:r>
      <w:r>
        <w:t>o de segunda ordem. Com o tempo de ciclo do pedido menor, o horário-limite para recebimento de pedidos das lojas pode ser postergado sem comprometer a partida do veículo. Pedidos emitidos mais tarde incorporam mais informação de venda do dia e são mais ass</w:t>
      </w:r>
      <w:r>
        <w:t>ertivos, o que reduz a ruptura na gôndola por um caminho independente da otimização física — um ganho que não aparece no indicador de distância, mas aparece no nível de serviço ao cliente final.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5.5 Síntese da análise</w:t>
      </w:r>
    </w:p>
    <w:p w:rsidR="00B46D56" w:rsidRDefault="008B7878">
      <w:pPr>
        <w:spacing w:after="120"/>
        <w:ind w:firstLine="709"/>
      </w:pPr>
      <w:r>
        <w:t xml:space="preserve">A implementação do ciclo operacional </w:t>
      </w:r>
      <w:r>
        <w:t>reduziu a distância percorrida na separação em 14,8%, com desvio-padrão de 2,4 pontos percentuais em 8 réplicas, e o ganho mostrou-se estável entre 14,5% e 17,2% conforme o tamanho da onda, com dispersão decrescente em ondas maiores. Traduzido em indicador</w:t>
      </w:r>
      <w:r>
        <w:t xml:space="preserve">es de negócio sob hipótese conservadora, o resultado equivale a elevar a produtividade de 62 para 67 </w:t>
      </w:r>
      <w:r>
        <w:lastRenderedPageBreak/>
        <w:t>linhas por hora por operador, reduzir o custo por linha de R$ 0,84 para R$ 0,77 e economizar cerca de R$ 943.589 por ano, sem aquisição de ativos.</w:t>
      </w:r>
    </w:p>
    <w:p w:rsidR="00B46D56" w:rsidRDefault="008B7878">
      <w:pPr>
        <w:spacing w:after="120"/>
        <w:ind w:firstLine="709"/>
      </w:pPr>
      <w:r>
        <w:t>O experi</w:t>
      </w:r>
      <w:r>
        <w:t xml:space="preserve">mento fatorial mostrou que essa vantagem se concentra quase integralmente na roteirização: o ACO isolado captura 96% do benefício, enquanto o algoritmo genético contribui com apenas 3,6 pontos percentuais, por otimizar uma métrica que não é a utilizada na </w:t>
      </w:r>
      <w:r>
        <w:t>solução final. A recomendação gerencial que decorre disso é de sequenciamento: implantar primeiro o roteirizador, que tem menor custo de integração e entrega quase todo o retorno, e tratar a formação de lotes como segunda fase, condicionada à correção da f</w:t>
      </w:r>
      <w:r>
        <w:t>unção de aptidão.</w:t>
      </w:r>
    </w:p>
    <w:p w:rsidR="00B46D56" w:rsidRDefault="008B7878">
      <w:pPr>
        <w:spacing w:after="120"/>
        <w:ind w:firstLine="709"/>
      </w:pPr>
      <w:r>
        <w:t>Do ponto de vista decisório, o efeito mais relevante é o deslocamento do eixo da discussão de investimento. Diante de um crescimento projetado de demanda, a resposta convencional é ampliar equipe ou adquirir automação; os resultados mostr</w:t>
      </w:r>
      <w:r>
        <w:t>am que a mesma estrutura física absorve volume significativamente maior apenas com mudança algorítmica, o que permite adiar o desembolso e retomar a decisão com dados reais. O ganho residual estimado, da ordem de 13 pontos percentuais, permanece disponível</w:t>
      </w:r>
      <w:r>
        <w:t xml:space="preserve"> no ciclo tático e depende de reendereçamento guiado por previsão de demanda — uma segunda onda de projeto com custo e risco maiores, agora quantificáveis.</w:t>
      </w:r>
    </w:p>
    <w:p w:rsidR="00B46D56" w:rsidRDefault="008B7878">
      <w:pPr>
        <w:keepNext/>
        <w:spacing w:before="240" w:after="120"/>
        <w:jc w:val="left"/>
      </w:pPr>
      <w:r>
        <w:rPr>
          <w:b/>
        </w:rPr>
        <w:t>5.6 Análise sistêmica de médio e longo prazo</w:t>
      </w:r>
    </w:p>
    <w:p w:rsidR="00B46D56" w:rsidRDefault="008B7878">
      <w:pPr>
        <w:spacing w:after="120"/>
        <w:ind w:firstLine="709"/>
      </w:pPr>
      <w:r>
        <w:rPr>
          <w:b/>
        </w:rPr>
        <w:t>Médio prazo (um a dois anos).</w:t>
      </w:r>
      <w:r>
        <w:t xml:space="preserve"> O risco principal é a </w:t>
      </w:r>
      <w:r>
        <w:rPr>
          <w:b/>
        </w:rPr>
        <w:t>deg</w:t>
      </w:r>
      <w:r>
        <w:rPr>
          <w:b/>
        </w:rPr>
        <w:t>radação silenciosa</w:t>
      </w:r>
      <w:r>
        <w:t xml:space="preserve">. Os parâmetros α, β e ρ do ACO e a configuração do AG foram calibrados para um perfil de demanda específico; mudanças no mix de produtos ou na sazonalidade deslocam esse perfil sem que o sistema emita qualquer alerta, e o desempenho cai </w:t>
      </w:r>
      <w:r>
        <w:t>sem que ninguém perceba. A mitigação é instrumentar o próprio sistema: registrar sistematicamente a distância prevista contra a realizada, medida pelos coletores, e disparar recalibração quando o desvio ultrapassar um limiar. Sem esse registro, a discussão</w:t>
      </w:r>
      <w:r>
        <w:t xml:space="preserve"> sobre a eficácia do modelo tende a ser decidida pela hierarquia, e não pela evidência.</w:t>
      </w:r>
    </w:p>
    <w:p w:rsidR="00B46D56" w:rsidRDefault="008B7878">
      <w:pPr>
        <w:spacing w:after="120"/>
        <w:ind w:firstLine="709"/>
      </w:pPr>
      <w:r>
        <w:t xml:space="preserve">Um segundo efeito de médio prazo é o </w:t>
      </w:r>
      <w:r>
        <w:rPr>
          <w:b/>
        </w:rPr>
        <w:t>congestionamento induzido</w:t>
      </w:r>
      <w:r>
        <w:t xml:space="preserve">. Ao encurtar rotas, o otimizador tende a concentrar separadores nas mesmas regiões do </w:t>
      </w:r>
      <w:r>
        <w:lastRenderedPageBreak/>
        <w:t xml:space="preserve">armazém, e o ganho </w:t>
      </w:r>
      <w:r>
        <w:t>teórico pode ser parcialmente consumido por filas nos corredores. O modelo implementado não trata esse acoplamento; incorporá-lo exige penalizar dinamicamente as arestas de maior ocupação prevista, extensão prevista no framework original e ainda não implem</w:t>
      </w:r>
      <w:r>
        <w:t>entada.</w:t>
      </w:r>
    </w:p>
    <w:p w:rsidR="00B46D56" w:rsidRDefault="008B7878">
      <w:pPr>
        <w:spacing w:after="120"/>
        <w:ind w:firstLine="709"/>
      </w:pPr>
      <w:r>
        <w:rPr>
          <w:b/>
        </w:rPr>
        <w:t>Longo prazo (três a cinco anos).</w:t>
      </w:r>
      <w:r>
        <w:t xml:space="preserve"> A otimização da rota tem retorno decrescente: uma vez capturados os pontos percentuais disponíveis, o próximo salto exige mudar o problema, não o algoritmo. É aí que o ciclo tático se torna a fronteira relevante — e</w:t>
      </w:r>
      <w:r>
        <w:t xml:space="preserve">, adiante dele, a designação dinâmica de tarefas por aprendizado por reforço, capaz de antecipar consequências de longo prazo que regras míopes não capturam. Há também um efeito organizacional: cada onda roteirizada gera dados rotulados sobre tempos reais </w:t>
      </w:r>
      <w:r>
        <w:t>de execução, e esse acervo, acumulado ao longo de anos, é o ativo que viabiliza modelos preditivos que hoje não teriam base de treinamento. O sistema, portanto, não apenas resolve o problema atual como constrói a condição para resolver os seguintes.</w:t>
      </w:r>
    </w:p>
    <w:p w:rsidR="00B46D56" w:rsidRDefault="008B7878">
      <w:pPr>
        <w:spacing w:after="120"/>
        <w:ind w:firstLine="709"/>
      </w:pPr>
      <w:r>
        <w:t>Por fi</w:t>
      </w:r>
      <w:r>
        <w:t xml:space="preserve">m, a sustentabilidade da solução depende menos de tecnologia que de </w:t>
      </w:r>
      <w:r>
        <w:rPr>
          <w:b/>
        </w:rPr>
        <w:t>governança de dados</w:t>
      </w:r>
      <w:r>
        <w:t>. O insumo já existe e é gerado nativamente pela operação; o que costuma faltar é disciplina de registro e clareza sobre quem responde pela qualidade dessas informações.</w:t>
      </w:r>
      <w:r>
        <w:t xml:space="preserve"> Esse é, em última análise, o gargalo real da adoção de inteligência artificial na gestão de negócios.</w:t>
      </w:r>
    </w:p>
    <w:p w:rsidR="00B46D56" w:rsidRDefault="008B7878">
      <w:pPr>
        <w:keepNext/>
        <w:spacing w:before="360" w:after="120"/>
        <w:jc w:val="left"/>
      </w:pPr>
      <w:r>
        <w:rPr>
          <w:b/>
        </w:rPr>
        <w:t>REFERÊNCIAS</w:t>
      </w:r>
    </w:p>
    <w:p w:rsidR="00B46D56" w:rsidRDefault="008B7878">
      <w:pPr>
        <w:spacing w:after="240" w:line="240" w:lineRule="auto"/>
        <w:jc w:val="left"/>
      </w:pPr>
      <w:r>
        <w:t>ALLGOR, R. J.; ÇEZIK, T.; CHEN, D. Algorithm for robotic picking in Amazon fulfillment centers enables humans and robots to work together eff</w:t>
      </w:r>
      <w:r>
        <w:t xml:space="preserve">ectively. </w:t>
      </w:r>
      <w:r>
        <w:rPr>
          <w:b/>
        </w:rPr>
        <w:t>INFORMS Journal on Applied Analytics</w:t>
      </w:r>
      <w:r>
        <w:t>, v. 53, n. 4, p. 266-282, 2023. DOI: 10.1287/inte.2022.1143. Disponível em: https://pubsonline.informs.org/doi/10.1287/inte.2022.1143. Acesso em: 30 jul. 2026.</w:t>
      </w:r>
    </w:p>
    <w:p w:rsidR="00B46D56" w:rsidRDefault="008B7878">
      <w:pPr>
        <w:spacing w:after="240" w:line="240" w:lineRule="auto"/>
        <w:jc w:val="left"/>
      </w:pPr>
      <w:r>
        <w:t xml:space="preserve">CROSTON, J. D. Forecasting and stock control for </w:t>
      </w:r>
      <w:r>
        <w:t xml:space="preserve">intermittent demands. </w:t>
      </w:r>
      <w:r>
        <w:rPr>
          <w:b/>
        </w:rPr>
        <w:t>Operational Research Quarterly</w:t>
      </w:r>
      <w:r>
        <w:t>, v. 23, n. 3, p. 289-303, 1972.</w:t>
      </w:r>
    </w:p>
    <w:p w:rsidR="00B46D56" w:rsidRDefault="008B7878">
      <w:pPr>
        <w:spacing w:after="240" w:line="240" w:lineRule="auto"/>
        <w:jc w:val="left"/>
      </w:pPr>
      <w:r>
        <w:t xml:space="preserve">DE KOSTER, R.; LE-DUC, T.; ROODBERGEN, K. J. Design and control of warehouse order picking: a literature review. </w:t>
      </w:r>
      <w:r>
        <w:rPr>
          <w:b/>
        </w:rPr>
        <w:t>European Journal of Operational Research</w:t>
      </w:r>
      <w:r>
        <w:t>, v. 182, n. 2, p.</w:t>
      </w:r>
      <w:r>
        <w:t xml:space="preserve"> 481-501, 2007.</w:t>
      </w:r>
    </w:p>
    <w:p w:rsidR="00B46D56" w:rsidRDefault="008B7878">
      <w:pPr>
        <w:spacing w:after="240" w:line="240" w:lineRule="auto"/>
        <w:jc w:val="left"/>
      </w:pPr>
      <w:r>
        <w:t xml:space="preserve">DE SANTIS, R.; MONTANARI, R.; VIGNALI, G.; BOTTANI, E. An adapted ant colony optimization algorithm for the minimization of the travel distance of pickers in manual </w:t>
      </w:r>
      <w:r>
        <w:lastRenderedPageBreak/>
        <w:t xml:space="preserve">warehouses. </w:t>
      </w:r>
      <w:r>
        <w:rPr>
          <w:b/>
        </w:rPr>
        <w:t>European Journal of Operational Research</w:t>
      </w:r>
      <w:r>
        <w:t>, v. 267, n. 1, p. 120-</w:t>
      </w:r>
      <w:r>
        <w:t>137, 2018.</w:t>
      </w:r>
    </w:p>
    <w:p w:rsidR="00B46D56" w:rsidRDefault="008B7878">
      <w:pPr>
        <w:spacing w:after="240" w:line="240" w:lineRule="auto"/>
        <w:jc w:val="left"/>
      </w:pPr>
      <w:r>
        <w:t xml:space="preserve">DORIGO, M.; STÜTZLE, T. </w:t>
      </w:r>
      <w:r>
        <w:rPr>
          <w:b/>
        </w:rPr>
        <w:t>Ant colony optimization</w:t>
      </w:r>
      <w:r>
        <w:t>. Cambridge: MIT Press, 2004.</w:t>
      </w:r>
    </w:p>
    <w:p w:rsidR="00B46D56" w:rsidRDefault="008B7878">
      <w:pPr>
        <w:spacing w:after="240" w:line="240" w:lineRule="auto"/>
        <w:jc w:val="left"/>
      </w:pPr>
      <w:r>
        <w:t xml:space="preserve">HOLLAND, J. H. </w:t>
      </w:r>
      <w:r>
        <w:rPr>
          <w:b/>
        </w:rPr>
        <w:t>Adaptation in natural and artificial systems</w:t>
      </w:r>
      <w:r>
        <w:t>. Ann Arbor: University of Michigan Press, 1975.</w:t>
      </w:r>
    </w:p>
    <w:p w:rsidR="00B46D56" w:rsidRDefault="008B7878">
      <w:pPr>
        <w:spacing w:after="240" w:line="240" w:lineRule="auto"/>
        <w:jc w:val="left"/>
      </w:pPr>
      <w:r>
        <w:t xml:space="preserve">MORETTIN, P. A. </w:t>
      </w:r>
      <w:r>
        <w:rPr>
          <w:b/>
        </w:rPr>
        <w:t>Análise de séries temporais</w:t>
      </w:r>
      <w:r>
        <w:t>. São Paulo: Bluc</w:t>
      </w:r>
      <w:r>
        <w:t>her, 2018.</w:t>
      </w:r>
    </w:p>
    <w:p w:rsidR="00B46D56" w:rsidRDefault="008B7878">
      <w:pPr>
        <w:spacing w:after="240" w:line="240" w:lineRule="auto"/>
        <w:jc w:val="left"/>
      </w:pPr>
      <w:r>
        <w:t xml:space="preserve">NORVIG, P. </w:t>
      </w:r>
      <w:r>
        <w:rPr>
          <w:b/>
        </w:rPr>
        <w:t>Inteligência artificial</w:t>
      </w:r>
      <w:r>
        <w:t>. Rio de Janeiro: LTC, 2013.</w:t>
      </w:r>
    </w:p>
    <w:p w:rsidR="00B46D56" w:rsidRDefault="008B7878">
      <w:pPr>
        <w:spacing w:after="240" w:line="240" w:lineRule="auto"/>
        <w:jc w:val="left"/>
      </w:pPr>
      <w:r>
        <w:t xml:space="preserve">STEIN, R. et al. </w:t>
      </w:r>
      <w:r>
        <w:rPr>
          <w:b/>
        </w:rPr>
        <w:t>Modelagem e otimização de sistemas da produção</w:t>
      </w:r>
      <w:r>
        <w:t>. Porto Alegre: SAGAH, 2018.</w:t>
      </w:r>
    </w:p>
    <w:p w:rsidR="00B46D56" w:rsidRDefault="008B7878">
      <w:pPr>
        <w:spacing w:after="240" w:line="240" w:lineRule="auto"/>
        <w:jc w:val="left"/>
      </w:pPr>
      <w:r>
        <w:t xml:space="preserve">SYNTETOS, A. A.; BOYLAN, J. E. The accuracy of intermittent demand estimates. </w:t>
      </w:r>
      <w:r>
        <w:rPr>
          <w:b/>
        </w:rPr>
        <w:t>Internationa</w:t>
      </w:r>
      <w:r>
        <w:rPr>
          <w:b/>
        </w:rPr>
        <w:t>l Journal of Forecasting</w:t>
      </w:r>
      <w:r>
        <w:t>, v. 21, n. 2, p. 303-314, 2005.</w:t>
      </w:r>
    </w:p>
    <w:sectPr w:rsidR="00B46D56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7878"/>
    <w:rsid w:val="00AA1D8D"/>
    <w:rsid w:val="00B46D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C3BDED8-96F1-41CA-89AE-BEDB0EEF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6B0593-71B5-45DA-B32C-F81106F6F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4546</Words>
  <Characters>24551</Characters>
  <Application>Microsoft Office Word</Application>
  <DocSecurity>0</DocSecurity>
  <Lines>204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</cp:lastModifiedBy>
  <cp:revision>2</cp:revision>
  <dcterms:created xsi:type="dcterms:W3CDTF">2013-12-23T23:15:00Z</dcterms:created>
  <dcterms:modified xsi:type="dcterms:W3CDTF">2026-08-09T22:13:00Z</dcterms:modified>
  <cp:category/>
</cp:coreProperties>
</file>