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633"/>
      </w:tblGrid>
      <w:tr w:rsidR="00A802FE">
        <w:trPr>
          <w:jc w:val="center"/>
        </w:trPr>
        <w:tc>
          <w:tcPr>
            <w:tcW w:w="2438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</w:pPr>
            <w:bookmarkStart w:id="0" w:name="_GoBack"/>
            <w:bookmarkEnd w:id="0"/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w="6633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RELAÇÃO DE FUNDAMENTOS E CITAÇÕES — Manifestação sobre a Contraminuta (Grupo DEFESA)</w:t>
            </w:r>
          </w:p>
        </w:tc>
      </w:tr>
      <w:tr w:rsidR="00A802FE">
        <w:trPr>
          <w:jc w:val="center"/>
        </w:trPr>
        <w:tc>
          <w:tcPr>
            <w:tcW w:w="2438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Autoria</w:t>
            </w:r>
          </w:p>
        </w:tc>
        <w:tc>
          <w:tcPr>
            <w:tcW w:w="6633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Claude (Anthropic) — modelo Opus 5.5</w:t>
            </w:r>
          </w:p>
        </w:tc>
      </w:tr>
      <w:tr w:rsidR="00A802FE">
        <w:trPr>
          <w:jc w:val="center"/>
        </w:trPr>
        <w:tc>
          <w:tcPr>
            <w:tcW w:w="2438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Data / hora</w:t>
            </w:r>
          </w:p>
        </w:tc>
        <w:tc>
          <w:tcPr>
            <w:tcW w:w="6633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28/09/2026, 14h20 (Brasília)</w:t>
            </w:r>
          </w:p>
        </w:tc>
      </w:tr>
      <w:tr w:rsidR="00A802FE">
        <w:trPr>
          <w:jc w:val="center"/>
        </w:trPr>
        <w:tc>
          <w:tcPr>
            <w:tcW w:w="2438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6633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 xml:space="preserve">v.3.2 (vinculada à Manifestação v3.2; substitui as anteriores). </w:t>
            </w:r>
            <w:r>
              <w:rPr>
                <w:color w:val="000000"/>
                <w:sz w:val="20"/>
              </w:rPr>
              <w:t>Retirados: AgInt REsp 1.455.741/DF, Súmula 381/STJ, arts. 337 §5º e 485 §3º do CPC</w:t>
            </w:r>
          </w:p>
        </w:tc>
      </w:tr>
    </w:tbl>
    <w:p w:rsidR="00A802FE" w:rsidRDefault="00A802FE">
      <w:pPr>
        <w:spacing w:after="40"/>
      </w:pPr>
    </w:p>
    <w:p w:rsidR="00A802FE" w:rsidRDefault="008908AF">
      <w:pPr>
        <w:spacing w:before="240" w:after="120"/>
      </w:pPr>
      <w:r>
        <w:rPr>
          <w:b/>
          <w:color w:val="1F3864"/>
          <w:sz w:val="26"/>
        </w:rPr>
        <w:t>1. Jurisprudência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3175"/>
        <w:gridCol w:w="2721"/>
        <w:gridCol w:w="1814"/>
        <w:gridCol w:w="716"/>
      </w:tblGrid>
      <w:tr w:rsidR="00A802FE">
        <w:trPr>
          <w:jc w:val="center"/>
        </w:trPr>
        <w:tc>
          <w:tcPr>
            <w:tcW w:w="454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Julgado</w:t>
            </w:r>
          </w:p>
        </w:tc>
        <w:tc>
          <w:tcPr>
            <w:tcW w:w="2721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Trecho usado</w:t>
            </w:r>
          </w:p>
        </w:tc>
        <w:tc>
          <w:tcPr>
            <w:tcW w:w="1814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Drive</w:t>
            </w:r>
          </w:p>
        </w:tc>
        <w:tc>
          <w:tcPr>
            <w:tcW w:w="680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Sinal</w:t>
            </w:r>
          </w:p>
        </w:tc>
      </w:tr>
      <w:tr w:rsidR="00A802FE">
        <w:trPr>
          <w:jc w:val="center"/>
        </w:trPr>
        <w:tc>
          <w:tcPr>
            <w:tcW w:w="454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175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STJ, EDcl no REsp 1.229.406/SP, 1ª T., Rel. Min. Benedito Gonçalves, j. 16/02/2012, DJe 07/03/2012</w:t>
            </w:r>
          </w:p>
        </w:tc>
        <w:tc>
          <w:tcPr>
            <w:tcW w:w="2721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 xml:space="preserve">eficácia </w:t>
            </w:r>
            <w:r>
              <w:rPr>
                <w:color w:val="000000"/>
                <w:sz w:val="18"/>
              </w:rPr>
              <w:t>preclusiva da homologação; "independentemente do acerto ou desacerto dos critérios"</w:t>
            </w:r>
          </w:p>
        </w:tc>
        <w:tc>
          <w:tcPr>
            <w:tcW w:w="1814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Sim (pasta Chavantes)</w:t>
            </w:r>
          </w:p>
        </w:tc>
        <w:tc>
          <w:tcPr>
            <w:tcW w:w="680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🟩</w:t>
            </w:r>
          </w:p>
        </w:tc>
      </w:tr>
      <w:tr w:rsidR="00A802FE">
        <w:trPr>
          <w:jc w:val="center"/>
        </w:trPr>
        <w:tc>
          <w:tcPr>
            <w:tcW w:w="454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175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STJ, REsp 2.018.575/PR, 3ª T., Rel. Min. Nancy Andrighi, DJe 28/09/2023</w:t>
            </w:r>
          </w:p>
        </w:tc>
        <w:tc>
          <w:tcPr>
            <w:tcW w:w="2721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cumprimento de decisão (art. 77, IV) não é aquiescência</w:t>
            </w:r>
          </w:p>
        </w:tc>
        <w:tc>
          <w:tcPr>
            <w:tcW w:w="1814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 xml:space="preserve">Sim (pasta </w:t>
            </w:r>
            <w:r>
              <w:rPr>
                <w:color w:val="000000"/>
                <w:sz w:val="18"/>
              </w:rPr>
              <w:t>Chavantes)</w:t>
            </w:r>
          </w:p>
        </w:tc>
        <w:tc>
          <w:tcPr>
            <w:tcW w:w="680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🟩</w:t>
            </w:r>
          </w:p>
        </w:tc>
      </w:tr>
      <w:tr w:rsidR="00A802FE">
        <w:trPr>
          <w:jc w:val="center"/>
        </w:trPr>
        <w:tc>
          <w:tcPr>
            <w:tcW w:w="454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175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STJ, EDcl no REsp 2.178.097/RS, 4ª T., Rel. Min. Raul Araújo, j. 25/05/2026</w:t>
            </w:r>
          </w:p>
        </w:tc>
        <w:tc>
          <w:tcPr>
            <w:tcW w:w="2721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ato sob determinação judicial não importa aquiescência</w:t>
            </w:r>
          </w:p>
        </w:tc>
        <w:tc>
          <w:tcPr>
            <w:tcW w:w="1814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Sim (pasta Chavantes)</w:t>
            </w:r>
          </w:p>
        </w:tc>
        <w:tc>
          <w:tcPr>
            <w:tcW w:w="680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🟩</w:t>
            </w:r>
          </w:p>
        </w:tc>
      </w:tr>
      <w:tr w:rsidR="00A802FE">
        <w:trPr>
          <w:jc w:val="center"/>
        </w:trPr>
        <w:tc>
          <w:tcPr>
            <w:tcW w:w="454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175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STJ, REsp 1.655.655/SP, 3ª T., Rel. Min. Ricardo Villas Bôas Cueva, j. 25/06/201</w:t>
            </w: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2721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aceitação tácita deve ser inequívoca</w:t>
            </w:r>
          </w:p>
        </w:tc>
        <w:tc>
          <w:tcPr>
            <w:tcW w:w="1814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Sim (pasta Chavantes)</w:t>
            </w:r>
          </w:p>
        </w:tc>
        <w:tc>
          <w:tcPr>
            <w:tcW w:w="680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🟩</w:t>
            </w:r>
          </w:p>
        </w:tc>
      </w:tr>
      <w:tr w:rsidR="00A802FE">
        <w:trPr>
          <w:jc w:val="center"/>
        </w:trPr>
        <w:tc>
          <w:tcPr>
            <w:tcW w:w="454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175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TJSP, AI 2236642-80.2025.8.26.0000, 13ª CDP, Rel. Des. Ana de Lourdes C. S. da Fonseca</w:t>
            </w:r>
          </w:p>
        </w:tc>
        <w:tc>
          <w:tcPr>
            <w:tcW w:w="2721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"a única tese ali deduzida"; "indevida inovação" (fls. 3347/3348)</w:t>
            </w:r>
          </w:p>
        </w:tc>
        <w:tc>
          <w:tcPr>
            <w:tcW w:w="1814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Sim (pasta Chavantes)</w:t>
            </w:r>
          </w:p>
        </w:tc>
        <w:tc>
          <w:tcPr>
            <w:tcW w:w="680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🟩</w:t>
            </w:r>
          </w:p>
        </w:tc>
      </w:tr>
      <w:tr w:rsidR="00A802FE">
        <w:trPr>
          <w:jc w:val="center"/>
        </w:trPr>
        <w:tc>
          <w:tcPr>
            <w:tcW w:w="454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175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TJSP, AI</w:t>
            </w:r>
            <w:r>
              <w:rPr>
                <w:color w:val="000000"/>
                <w:sz w:val="18"/>
              </w:rPr>
              <w:t xml:space="preserve"> 2353386-61.2025.8.26.0000, 13ª CDP, mesma Relatora, j. 04/03/2026, v.u., Registro 2026.0000169763; trânsito 31/03/2026</w:t>
            </w:r>
          </w:p>
        </w:tc>
        <w:tc>
          <w:tcPr>
            <w:tcW w:w="2721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adotou a decisão de 1º grau: "sob o manto da preclusão pro iudicato"; "retrocesso indevido" (fls. 3427/3428)</w:t>
            </w:r>
          </w:p>
        </w:tc>
        <w:tc>
          <w:tcPr>
            <w:tcW w:w="1814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Sim (pasta Chavantes, 28/09</w:t>
            </w:r>
            <w:r>
              <w:rPr>
                <w:color w:val="000000"/>
                <w:sz w:val="18"/>
              </w:rPr>
              <w:t>/2026); cópia nos autos (fls. 3422/3434 e-SAJ)</w:t>
            </w:r>
          </w:p>
        </w:tc>
        <w:tc>
          <w:tcPr>
            <w:tcW w:w="680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🟩</w:t>
            </w:r>
          </w:p>
        </w:tc>
      </w:tr>
      <w:tr w:rsidR="00A802FE">
        <w:trPr>
          <w:jc w:val="center"/>
        </w:trPr>
        <w:tc>
          <w:tcPr>
            <w:tcW w:w="454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175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1º TACivSP, Apelação 494.970-8, 7ª Câm., Rel. Luiz Correia Lima, j. 05/10/1993 (acórdão dos embargos)</w:t>
            </w:r>
          </w:p>
        </w:tc>
        <w:tc>
          <w:tcPr>
            <w:tcW w:w="2721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57,18% a.a.; mora 1% a.m.; multa 10%</w:t>
            </w:r>
          </w:p>
        </w:tc>
        <w:tc>
          <w:tcPr>
            <w:tcW w:w="1814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Juntado (docs. 1 a 4)</w:t>
            </w:r>
          </w:p>
        </w:tc>
        <w:tc>
          <w:tcPr>
            <w:tcW w:w="680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🟩</w:t>
            </w:r>
          </w:p>
        </w:tc>
      </w:tr>
      <w:tr w:rsidR="00A802FE">
        <w:trPr>
          <w:jc w:val="center"/>
        </w:trPr>
        <w:tc>
          <w:tcPr>
            <w:tcW w:w="454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3175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 xml:space="preserve">Sentença dos Embargos 841/87, 3ª </w:t>
            </w:r>
            <w:r>
              <w:rPr>
                <w:color w:val="000000"/>
                <w:sz w:val="18"/>
              </w:rPr>
              <w:t>Vara de Ourinhos, Juiz José Aparício Coelho Prado Neto, 03/05/1991</w:t>
            </w:r>
          </w:p>
        </w:tc>
        <w:tc>
          <w:tcPr>
            <w:tcW w:w="2721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ordem de homologação; forma de apuração "como reclamada pelo embargado"; 20%</w:t>
            </w:r>
          </w:p>
        </w:tc>
        <w:tc>
          <w:tcPr>
            <w:tcW w:w="1814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Juntada (docs. 5 e 6)</w:t>
            </w:r>
          </w:p>
        </w:tc>
        <w:tc>
          <w:tcPr>
            <w:tcW w:w="680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18"/>
              </w:rPr>
              <w:t>🟩</w:t>
            </w:r>
          </w:p>
        </w:tc>
      </w:tr>
    </w:tbl>
    <w:p w:rsidR="00A802FE" w:rsidRDefault="00A802FE">
      <w:pPr>
        <w:spacing w:after="40"/>
      </w:pPr>
    </w:p>
    <w:p w:rsidR="00A802FE" w:rsidRDefault="008908AF">
      <w:pPr>
        <w:spacing w:before="240" w:after="120"/>
      </w:pPr>
      <w:r>
        <w:rPr>
          <w:b/>
          <w:color w:val="1F3864"/>
          <w:sz w:val="26"/>
        </w:rPr>
        <w:t>2. Legislação e súmulas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A802FE">
        <w:trPr>
          <w:jc w:val="center"/>
        </w:trPr>
        <w:tc>
          <w:tcPr>
            <w:tcW w:w="3402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Dispositivo</w:t>
            </w:r>
          </w:p>
        </w:tc>
        <w:tc>
          <w:tcPr>
            <w:tcW w:w="5669" w:type="dxa"/>
            <w:shd w:val="clear" w:color="auto" w:fill="1F3864"/>
          </w:tcPr>
          <w:p w:rsidR="00A802FE" w:rsidRDefault="008908AF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A802FE">
        <w:trPr>
          <w:jc w:val="center"/>
        </w:trPr>
        <w:tc>
          <w:tcPr>
            <w:tcW w:w="3402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lastRenderedPageBreak/>
              <w:t>CF, art. 5º, XXXVI</w:t>
            </w:r>
          </w:p>
        </w:tc>
        <w:tc>
          <w:tcPr>
            <w:tcW w:w="5669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coisa julgada</w:t>
            </w:r>
          </w:p>
        </w:tc>
      </w:tr>
      <w:tr w:rsidR="00A802FE">
        <w:trPr>
          <w:jc w:val="center"/>
        </w:trPr>
        <w:tc>
          <w:tcPr>
            <w:tcW w:w="3402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CPC, arts.</w:t>
            </w:r>
            <w:r>
              <w:rPr>
                <w:color w:val="000000"/>
                <w:sz w:val="20"/>
              </w:rPr>
              <w:t xml:space="preserve"> 9º e 10</w:t>
            </w:r>
          </w:p>
        </w:tc>
        <w:tc>
          <w:tcPr>
            <w:tcW w:w="5669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contraditório sobre o pedido de multa</w:t>
            </w:r>
          </w:p>
        </w:tc>
      </w:tr>
      <w:tr w:rsidR="00A802FE">
        <w:trPr>
          <w:jc w:val="center"/>
        </w:trPr>
        <w:tc>
          <w:tcPr>
            <w:tcW w:w="3402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CPC, art. 77, I e IV</w:t>
            </w:r>
          </w:p>
        </w:tc>
        <w:tc>
          <w:tcPr>
            <w:tcW w:w="5669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verdade dos fatos; dever de cumprir decisões</w:t>
            </w:r>
          </w:p>
        </w:tc>
      </w:tr>
      <w:tr w:rsidR="00A802FE">
        <w:trPr>
          <w:jc w:val="center"/>
        </w:trPr>
        <w:tc>
          <w:tcPr>
            <w:tcW w:w="3402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CPC, art. 80, II</w:t>
            </w:r>
          </w:p>
        </w:tc>
        <w:tc>
          <w:tcPr>
            <w:tcW w:w="5669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má-fé exige alteração da verdade</w:t>
            </w:r>
          </w:p>
        </w:tc>
      </w:tr>
      <w:tr w:rsidR="00A802FE">
        <w:trPr>
          <w:jc w:val="center"/>
        </w:trPr>
        <w:tc>
          <w:tcPr>
            <w:tcW w:w="3402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CPC, arts. 435 e 437, § 1º</w:t>
            </w:r>
          </w:p>
        </w:tc>
        <w:tc>
          <w:tcPr>
            <w:tcW w:w="5669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juntada de documentos e vista</w:t>
            </w:r>
          </w:p>
        </w:tc>
      </w:tr>
      <w:tr w:rsidR="00A802FE">
        <w:trPr>
          <w:jc w:val="center"/>
        </w:trPr>
        <w:tc>
          <w:tcPr>
            <w:tcW w:w="3402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CPC, arts. 502, 503, 505 e 508</w:t>
            </w:r>
          </w:p>
        </w:tc>
        <w:tc>
          <w:tcPr>
            <w:tcW w:w="5669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coisa julgada vincula a execução; vedação de redecidir</w:t>
            </w:r>
          </w:p>
        </w:tc>
      </w:tr>
      <w:tr w:rsidR="00A802FE">
        <w:trPr>
          <w:jc w:val="center"/>
        </w:trPr>
        <w:tc>
          <w:tcPr>
            <w:tcW w:w="3402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CPC, art. 1.000, parágrafo único</w:t>
            </w:r>
          </w:p>
        </w:tc>
        <w:tc>
          <w:tcPr>
            <w:tcW w:w="5669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aceitação tácita</w:t>
            </w:r>
          </w:p>
        </w:tc>
      </w:tr>
      <w:tr w:rsidR="00A802FE">
        <w:trPr>
          <w:jc w:val="center"/>
        </w:trPr>
        <w:tc>
          <w:tcPr>
            <w:tcW w:w="3402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CPC, art. 1.018, § 2º</w:t>
            </w:r>
          </w:p>
        </w:tc>
        <w:tc>
          <w:tcPr>
            <w:tcW w:w="5669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comunicação à origem só em autos físicos</w:t>
            </w:r>
          </w:p>
        </w:tc>
      </w:tr>
      <w:tr w:rsidR="00A802FE">
        <w:trPr>
          <w:jc w:val="center"/>
        </w:trPr>
        <w:tc>
          <w:tcPr>
            <w:tcW w:w="3402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CC, arts. 286 e 287</w:t>
            </w:r>
          </w:p>
        </w:tc>
        <w:tc>
          <w:tcPr>
            <w:tcW w:w="5669" w:type="dxa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cessão com acessórios</w:t>
            </w:r>
          </w:p>
        </w:tc>
      </w:tr>
      <w:tr w:rsidR="00A802FE">
        <w:trPr>
          <w:jc w:val="center"/>
        </w:trPr>
        <w:tc>
          <w:tcPr>
            <w:tcW w:w="3402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>Decreto-lei 413/1969, art. 14, VI</w:t>
            </w:r>
          </w:p>
        </w:tc>
        <w:tc>
          <w:tcPr>
            <w:tcW w:w="5669" w:type="dxa"/>
            <w:shd w:val="clear" w:color="auto" w:fill="EEF1F7"/>
          </w:tcPr>
          <w:p w:rsidR="00A802FE" w:rsidRDefault="008908AF">
            <w:pPr>
              <w:spacing w:before="40" w:after="40" w:line="252" w:lineRule="auto"/>
            </w:pPr>
            <w:r>
              <w:rPr>
                <w:color w:val="000000"/>
                <w:sz w:val="20"/>
              </w:rPr>
              <w:t xml:space="preserve">citado </w:t>
            </w:r>
            <w:r>
              <w:rPr>
                <w:color w:val="000000"/>
                <w:sz w:val="20"/>
              </w:rPr>
              <w:t>pela sentença de 1991</w:t>
            </w:r>
          </w:p>
        </w:tc>
      </w:tr>
    </w:tbl>
    <w:p w:rsidR="00A802FE" w:rsidRDefault="00A802FE">
      <w:pPr>
        <w:spacing w:after="40"/>
      </w:pPr>
    </w:p>
    <w:p w:rsidR="00A802FE" w:rsidRDefault="008908AF">
      <w:pPr>
        <w:spacing w:before="240" w:after="120"/>
      </w:pPr>
      <w:r>
        <w:rPr>
          <w:b/>
          <w:color w:val="1F3864"/>
          <w:sz w:val="26"/>
        </w:rPr>
        <w:t>Pendências</w:t>
      </w:r>
    </w:p>
    <w:p w:rsidR="00A802FE" w:rsidRDefault="008908AF">
      <w:pPr>
        <w:spacing w:after="80"/>
        <w:ind w:left="454" w:hanging="227"/>
        <w:jc w:val="both"/>
      </w:pPr>
      <w:r>
        <w:rPr>
          <w:b/>
          <w:color w:val="1F3864"/>
        </w:rPr>
        <w:t xml:space="preserve">•  </w:t>
      </w:r>
      <w:r>
        <w:rPr>
          <w:color w:val="000000"/>
          <w:sz w:val="22"/>
        </w:rPr>
        <w:t>Nenhuma pendência de jurisprudência: todos os julgados citados estão na pasta "Jurisprudencia geral area de chavantes 84 alqueires". Limpeza sugerida: apagar "STJ AREsp 2353386.pdf" (processo alheio: ERBE Incorporadora</w:t>
      </w:r>
      <w:r>
        <w:rPr>
          <w:color w:val="000000"/>
          <w:sz w:val="22"/>
        </w:rPr>
        <w:t>, Rel. Min. Nancy Andrighi) e uma das duas cópias do AI 2236655-84.2022 (a de nome com dois espaços).</w:t>
      </w:r>
    </w:p>
    <w:sectPr w:rsidR="00A802FE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08AF"/>
    <w:rsid w:val="00A802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841F834-B73E-455A-ADF0-1414EA74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Verdana" w:hAnsi="Verdana" w:cs="Verdana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956AE5-0B05-4FE2-B3F2-0E21F0EAF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2446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2026-09-28T17:11:00Z</dcterms:created>
  <dcterms:modified xsi:type="dcterms:W3CDTF">2026-09-28T17:11:00Z</dcterms:modified>
  <cp:category/>
</cp:coreProperties>
</file>