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color w:val="1F3864"/>
          <w:sz w:val="30"/>
          <w:szCs w:val="30"/>
        </w:rPr>
        <w:t xml:space="preserve">Auditoria adversarial — Memoriais dos agravantes v1.1 — AI 2186351-42.2026.8.26.0000</w:t>
      </w:r>
    </w:p>
    <w:p>
      <w:pPr>
        <w:spacing w:after="4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Claude Code — Claude Fable 5.1 (Anthropic) | Data: 30/09/2026 | Hora: 17:56 (Brasília) | Chat: Auditoria EPE Ourinhos</w:t>
      </w:r>
    </w:p>
    <w:p>
      <w:pPr>
        <w:spacing w:after="4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Arquivos recebidos: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 (1) Claude_v1.1_PROTOCOLO_Memoriais_AI_2186351-2026.pdf — 3 páginas (não 2: a página 3 contém só o fecho, a data e a assinatura). (2) Relação de Citações v.1 (2 p., lida no Primeiro Passo); a Relação v.1.1 não foi enviada. (3) Prompt de auditoria (chat), com os três pontos de atenção especial.</w:t>
      </w:r>
    </w:p>
    <w:p>
      <w:pPr>
        <w:spacing w:after="4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Status de leitura: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 Memoriais v1.1: 3 de 3, texto extraído e conferido palavra a palavra. Fontes conferidas em imagem nesta sessão: fls. 165, 166, 169, 174, 175, 200, 201, 202, 203, 204 e-SAJ (arquivo 0161-0240 dos autos); fls. 3041, 3055, 3065, 3066 e-SAJ (arquivo 3041-3120, texto pesquisável); AI 2378248 (inteiro teor, 9 p.). Fontes conferidas em auditorias anteriores desta sessão e reaproveitadas: fls. 2178 (doc. 5), 180/183 (doc. 11), 3077, 3344/3351 (AI 2236642), 3441/3442, REsp 2.018.575/PR.</w:t>
      </w:r>
    </w:p>
    <w:p>
      <w:pPr>
        <w:spacing w:after="4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Primeiro passo.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 Tenho tudo o que preciso para T1 a T6. Julgado novo: nenhum (o AI 2378248 já foi conferido no Primeiro Passo). Folha nova conferida: fls. 202 e-SAJ (carimbo 151), necessária para o ponto (2).</w:t>
      </w:r>
    </w:p>
    <w:p>
      <w:pPr>
        <w:pStyle w:val="Heading1"/>
        <w:keepNext/>
      </w:pPr>
      <w:r>
        <w:rPr>
          <w:rFonts w:ascii="Times New Roman" w:cs="Times New Roman" w:eastAsia="Times New Roman" w:hAnsi="Times New Roman"/>
        </w:rPr>
        <w:t xml:space="preserve">T1 — Folhas e transcrições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7"/>
        <w:gridCol w:w="857"/>
        <w:gridCol w:w="6427"/>
        <w:gridCol w:w="6429"/>
      </w:tblGrid>
      <w:tr>
        <w:trPr>
          <w:cantSplit/>
          <w:tblHeader/>
        </w:trPr>
        <w:tc>
          <w:tcPr>
            <w:tcW w:type="dxa" w:w="8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#</w:t>
            </w:r>
          </w:p>
        </w:tc>
        <w:tc>
          <w:tcPr>
            <w:tcW w:type="dxa" w:w="8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Sinal</w:t>
            </w:r>
          </w:p>
        </w:tc>
        <w:tc>
          <w:tcPr>
            <w:tcW w:type="dxa" w:w="64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Item</w:t>
            </w:r>
          </w:p>
        </w:tc>
        <w:tc>
          <w:tcPr>
            <w:tcW w:type="dxa" w:w="642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Observação</w:t>
            </w:r>
          </w:p>
        </w:tc>
      </w:tr>
      <w:tr>
        <w:trPr>
          <w:cantSplit/>
          <w:tblHeader w:val="false"/>
        </w:trPr>
        <w:tc>
          <w:tcPr>
            <w:tcW w:type="dxa" w:w="8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8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🟩</w:t>
            </w:r>
          </w:p>
        </w:tc>
        <w:tc>
          <w:tcPr>
            <w:tcW w:type="dxa" w:w="64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fls. 2178 e-SAJ / carimbo 170 dos embargos (sentença 03/05/1991)</w:t>
            </w:r>
          </w:p>
        </w:tc>
        <w:tc>
          <w:tcPr>
            <w:tcW w:type="dxa" w:w="642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Transcrição idêntica ao doc. 5 conferido na v3.16/v3.17. Datas do acórdão (05/10/1993) e do trânsito (10/11/1993) conferem com docs. 3 e 4.</w:t>
            </w:r>
          </w:p>
        </w:tc>
      </w:tr>
      <w:tr>
        <w:trPr>
          <w:cantSplit/>
          <w:tblHeader w:val="false"/>
        </w:trPr>
        <w:tc>
          <w:tcPr>
            <w:tcW w:type="dxa" w:w="8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8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🟩</w:t>
            </w:r>
          </w:p>
        </w:tc>
        <w:tc>
          <w:tcPr>
            <w:tcW w:type="dxa" w:w="64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fls. 165 e-SAJ / carimbo 122 (1ª conta, 06/02/1995)</w:t>
            </w:r>
          </w:p>
        </w:tc>
        <w:tc>
          <w:tcPr>
            <w:tcW w:type="dxa" w:w="642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Data e carimbo corretos. fls. 166 (carimbo 123): "PRINCIPAL Cz$ 1.210.000,00 / TAXA DE 57% AO ANO DE 5/87 a 7/87". O ponto de partida no principal de maio/1987 está provado.</w:t>
            </w:r>
          </w:p>
        </w:tc>
      </w:tr>
      <w:tr>
        <w:trPr>
          <w:cantSplit/>
          <w:tblHeader w:val="false"/>
        </w:trPr>
        <w:tc>
          <w:tcPr>
            <w:tcW w:type="dxa" w:w="8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8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🟩</w:t>
            </w:r>
          </w:p>
        </w:tc>
        <w:tc>
          <w:tcPr>
            <w:tcW w:type="dxa" w:w="64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fls. 169 e-SAJ / carimbo 126</w:t>
            </w:r>
          </w:p>
        </w:tc>
        <w:tc>
          <w:tcPr>
            <w:tcW w:type="dxa" w:w="642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"Digam sobre o cálculo de fls. 122", 08/02/1995. "Aberta vista às partes (fls. 169)" confere.</w:t>
            </w:r>
          </w:p>
        </w:tc>
      </w:tr>
      <w:tr>
        <w:trPr>
          <w:cantSplit/>
          <w:tblHeader w:val="false"/>
        </w:trPr>
        <w:tc>
          <w:tcPr>
            <w:tcW w:type="dxa" w:w="8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8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🟩</w:t>
            </w:r>
          </w:p>
        </w:tc>
        <w:tc>
          <w:tcPr>
            <w:tcW w:type="dxa" w:w="64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fls. 175 e-SAJ / carimbo 130 (impugnação do Banespa)</w:t>
            </w:r>
          </w:p>
        </w:tc>
        <w:tc>
          <w:tcPr>
            <w:tcW w:type="dxa" w:w="642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Transcrição literal, inclusive "pois,foi" e "à partir". "Entre outros pontos" agora cobre o segundo motivo (juros de 57,18% a.a. só em 05 a 07/87) e os pedidos de fls. 174 (capitalização semestral, mora 1% a.m., multa 10%).</w:t>
            </w:r>
          </w:p>
        </w:tc>
      </w:tr>
      <w:tr>
        <w:trPr>
          <w:cantSplit/>
          <w:tblHeader w:val="false"/>
        </w:trPr>
        <w:tc>
          <w:tcPr>
            <w:tcW w:type="dxa" w:w="8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8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🟩</w:t>
            </w:r>
          </w:p>
        </w:tc>
        <w:tc>
          <w:tcPr>
            <w:tcW w:type="dxa" w:w="64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fls. 180/183 e-SAJ / carimbo 134/137 (conta retificada, 05/10/1995, R$ 5.256.733,85)</w:t>
            </w:r>
          </w:p>
        </w:tc>
        <w:tc>
          <w:tcPr>
            <w:tcW w:type="dxa" w:w="642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Conferido no doc. 11 (auditorias anteriores).</w:t>
            </w:r>
          </w:p>
        </w:tc>
      </w:tr>
      <w:tr>
        <w:trPr>
          <w:cantSplit/>
          <w:tblHeader w:val="false"/>
        </w:trPr>
        <w:tc>
          <w:tcPr>
            <w:tcW w:type="dxa" w:w="8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8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🟩</w:t>
            </w:r>
          </w:p>
        </w:tc>
        <w:tc>
          <w:tcPr>
            <w:tcW w:type="dxa" w:w="64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fls. 200 e-SAJ / carimbo 150 (vista) e fls. 201 (publicação)</w:t>
            </w:r>
          </w:p>
        </w:tc>
        <w:tc>
          <w:tcPr>
            <w:tcW w:type="dxa" w:w="642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Despacho de 06/10/1995: "Digam as partes sobre o cálculo de liquidação de fls. 134/137 e pedido de habilitação de crédito de fls. 138/139". A peça transcreve só a primeira parte, fechando as aspas depois de "134/137": a citação é fiel, apenas parcial; opcionalmente inserir "(…)" antes das aspas finais. fls. 201: certidão de publicação no D.O.J. de 27/10/1995, pág. 150 (Raquel Leite Caldara, 30/10/1995). Confere.</w:t>
            </w:r>
          </w:p>
        </w:tc>
      </w:tr>
      <w:tr>
        <w:trPr>
          <w:cantSplit/>
          <w:tblHeader w:val="false"/>
        </w:trPr>
        <w:tc>
          <w:tcPr>
            <w:tcW w:type="dxa" w:w="8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8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🟩</w:t>
            </w:r>
          </w:p>
        </w:tc>
        <w:tc>
          <w:tcPr>
            <w:tcW w:type="dxa" w:w="64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fls. 203 e-SAJ / carimbo 152 (homologação, 23/11/1995) e fls. 204</w:t>
            </w:r>
          </w:p>
        </w:tc>
        <w:tc>
          <w:tcPr>
            <w:tcW w:type="dxa" w:w="642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Homologação "para que produza seus jurídicos efeitos, o laudo de fls. 66/118 e a conta de liquidação de fls. 134/137, sobre a qual não se manifestou o exequente". fls. 204 (página sem carimbo): certidões de envio (29/11/1995), de publicação no D.O.J. de 06/12/1995 (pág. 113) e de decurso do prazo (29/12/1995): "decorreu o prazo legal sem manifestação das partes quanto ao r. despacho retro". Datas e transcrição conferem.</w:t>
            </w:r>
          </w:p>
        </w:tc>
      </w:tr>
      <w:tr>
        <w:trPr>
          <w:cantSplit/>
          <w:tblHeader w:val="false"/>
        </w:trPr>
        <w:tc>
          <w:tcPr>
            <w:tcW w:type="dxa" w:w="8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8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🟩</w:t>
            </w:r>
          </w:p>
        </w:tc>
        <w:tc>
          <w:tcPr>
            <w:tcW w:type="dxa" w:w="64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fls. 3065 e 3066 e-SAJ</w:t>
            </w:r>
          </w:p>
        </w:tc>
        <w:tc>
          <w:tcPr>
            <w:tcW w:type="dxa" w:w="642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"matéria nova, não apreciada porque não foi objeto da exceção" (fls. 3065) literal. "metodologia apresentada às fls. 3055" (fls. 3066) literal. O item 2 está na decisão que rejeitou os embargos (liberada em 29/05/2025). fls. 3066 não menciona a conta de 1995: confirmado no texto integral.</w:t>
            </w:r>
          </w:p>
        </w:tc>
      </w:tr>
      <w:tr>
        <w:trPr>
          <w:cantSplit/>
          <w:tblHeader w:val="false"/>
        </w:trPr>
        <w:tc>
          <w:tcPr>
            <w:tcW w:type="dxa" w:w="8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8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🟩</w:t>
            </w:r>
          </w:p>
        </w:tc>
        <w:tc>
          <w:tcPr>
            <w:tcW w:type="dxa" w:w="64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fls. 3041 e-SAJ</w:t>
            </w:r>
          </w:p>
        </w:tc>
        <w:tc>
          <w:tcPr>
            <w:tcW w:type="dxa" w:w="642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"a última conta de atualização do débito homologada" literal (decisão de fls. 3038/3044, liberada em 08/05/2025). "Dias antes" de 29/05/2025: 21 dias; "três semanas antes" seria mais preciso, mas "dias antes" não é falso.</w:t>
            </w:r>
          </w:p>
        </w:tc>
      </w:tr>
      <w:tr>
        <w:trPr>
          <w:cantSplit/>
          <w:tblHeader w:val="false"/>
        </w:trPr>
        <w:tc>
          <w:tcPr>
            <w:tcW w:type="dxa" w:w="8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8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🟩</w:t>
            </w:r>
          </w:p>
        </w:tc>
        <w:tc>
          <w:tcPr>
            <w:tcW w:type="dxa" w:w="64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fls. 3077; 3441/3442 e-SAJ</w:t>
            </w:r>
          </w:p>
        </w:tc>
        <w:tc>
          <w:tcPr>
            <w:tcW w:type="dxa" w:w="642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Petições em cumprimento de ordem, a segunda com ressalva expressa do agravo: conferidas nas auditorias v3.13 a v3.17; a Manifestação v3.17 as cita nos mesmos termos.</w:t>
            </w:r>
          </w:p>
        </w:tc>
      </w:tr>
      <w:tr>
        <w:trPr>
          <w:cantSplit/>
          <w:tblHeader w:val="false"/>
        </w:trPr>
        <w:tc>
          <w:tcPr>
            <w:tcW w:type="dxa" w:w="8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11</w:t>
            </w:r>
          </w:p>
        </w:tc>
        <w:tc>
          <w:tcPr>
            <w:tcW w:type="dxa" w:w="8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🟩</w:t>
            </w:r>
          </w:p>
        </w:tc>
        <w:tc>
          <w:tcPr>
            <w:tcW w:type="dxa" w:w="64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fls. 3347/3348 e-SAJ (AI 2236642)</w:t>
            </w:r>
          </w:p>
        </w:tc>
        <w:tc>
          <w:tcPr>
            <w:tcW w:type="dxa" w:w="642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"constituiu indevida inovação": conferido na cópia de fls. 3344/3351 e-SAJ nesta sessão. A peça cita a folha da frase (3347/3348), o que está certo; a Relação v.1.1, segundo o senhor, traz 3344/3351 para a cópia inteira. Coerente.</w:t>
            </w:r>
          </w:p>
        </w:tc>
      </w:tr>
    </w:tbl>
    <w:p>
      <w:pPr>
        <w:spacing w:after="120"/>
      </w:pPr>
    </w:p>
    <w:p>
      <w:pPr>
        <w:pStyle w:val="Heading1"/>
        <w:keepNext/>
      </w:pPr>
      <w:r>
        <w:rPr>
          <w:rFonts w:ascii="Times New Roman" w:cs="Times New Roman" w:eastAsia="Times New Roman" w:hAnsi="Times New Roman"/>
        </w:rPr>
        <w:t xml:space="preserve">T2 — Julgados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9"/>
        <w:gridCol w:w="1059"/>
        <w:gridCol w:w="4503"/>
        <w:gridCol w:w="7949"/>
      </w:tblGrid>
      <w:tr>
        <w:trPr>
          <w:cantSplit/>
          <w:tblHeader/>
        </w:trPr>
        <w:tc>
          <w:tcPr>
            <w:tcW w:type="dxa" w:w="10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#</w:t>
            </w:r>
          </w:p>
        </w:tc>
        <w:tc>
          <w:tcPr>
            <w:tcW w:type="dxa" w:w="10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Sinal</w:t>
            </w:r>
          </w:p>
        </w:tc>
        <w:tc>
          <w:tcPr>
            <w:tcW w:type="dxa" w:w="450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Julgado</w:t>
            </w:r>
          </w:p>
        </w:tc>
        <w:tc>
          <w:tcPr>
            <w:tcW w:type="dxa" w:w="794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Observação</w:t>
            </w:r>
          </w:p>
        </w:tc>
      </w:tr>
      <w:tr>
        <w:trPr>
          <w:cantSplit/>
          <w:tblHeader w:val="false"/>
        </w:trPr>
        <w:tc>
          <w:tcPr>
            <w:tcW w:type="dxa" w:w="10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10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🟩</w:t>
            </w:r>
          </w:p>
        </w:tc>
        <w:tc>
          <w:tcPr>
            <w:tcW w:type="dxa" w:w="450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TJSP, AI 2378248-33.2024.8.26.0000</w:t>
            </w:r>
          </w:p>
        </w:tc>
        <w:tc>
          <w:tcPr>
            <w:tcW w:type="dxa" w:w="794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Rel. Des. Márcio Teixeira Laranjo, j. 10/03/2025, v.u., 13ª CDP, com participação da Relatora e do Des. Francisco Giaquinto (Simões de Almeida presidente sem voto): confere. Descrição do caso ("execução de título extrajudicial em que havia cálculo homologado e não impugnado, revogou a perícia determinada pelo juízo") fiel ao relatório e ao dispositivo. Transcrição literal (voto, p. 8). Citado agora pelo fundamento correto.</w:t>
            </w:r>
          </w:p>
        </w:tc>
      </w:tr>
      <w:tr>
        <w:trPr>
          <w:cantSplit/>
          <w:tblHeader w:val="false"/>
        </w:trPr>
        <w:tc>
          <w:tcPr>
            <w:tcW w:type="dxa" w:w="10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13</w:t>
            </w:r>
          </w:p>
        </w:tc>
        <w:tc>
          <w:tcPr>
            <w:tcW w:type="dxa" w:w="10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🟩</w:t>
            </w:r>
          </w:p>
        </w:tc>
        <w:tc>
          <w:tcPr>
            <w:tcW w:type="dxa" w:w="450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TJSP, AI 2236642-80.2025.8.26.0000</w:t>
            </w:r>
          </w:p>
        </w:tc>
        <w:tc>
          <w:tcPr>
            <w:tcW w:type="dxa" w:w="794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Relatora, j. 07/10/2025; "nada decidiu sobre a base de cálculo" confere com a leitura feita na v3.13 (o acórdão tratou da inovação em embargos e da multa; não fixou base).</w:t>
            </w:r>
          </w:p>
        </w:tc>
      </w:tr>
      <w:tr>
        <w:trPr>
          <w:cantSplit/>
          <w:tblHeader w:val="false"/>
        </w:trPr>
        <w:tc>
          <w:tcPr>
            <w:tcW w:type="dxa" w:w="10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14</w:t>
            </w:r>
          </w:p>
        </w:tc>
        <w:tc>
          <w:tcPr>
            <w:tcW w:type="dxa" w:w="10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🟩</w:t>
            </w:r>
          </w:p>
        </w:tc>
        <w:tc>
          <w:tcPr>
            <w:tcW w:type="dxa" w:w="450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STJ, REsp 2.018.575/PR</w:t>
            </w:r>
          </w:p>
        </w:tc>
        <w:tc>
          <w:tcPr>
            <w:tcW w:type="dxa" w:w="794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3ª Turma, Rel. Min. Nancy Andrighi, DJe 28/09/2023: confere com a Relação v.3.17 e com o inteiro teor lido na sessão.</w:t>
            </w:r>
          </w:p>
        </w:tc>
      </w:tr>
      <w:tr>
        <w:trPr>
          <w:cantSplit/>
          <w:tblHeader w:val="false"/>
        </w:trPr>
        <w:tc>
          <w:tcPr>
            <w:tcW w:type="dxa" w:w="10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15</w:t>
            </w:r>
          </w:p>
        </w:tc>
        <w:tc>
          <w:tcPr>
            <w:tcW w:type="dxa" w:w="10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🟩</w:t>
            </w:r>
          </w:p>
        </w:tc>
        <w:tc>
          <w:tcPr>
            <w:tcW w:type="dxa" w:w="450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Legislação</w:t>
            </w:r>
          </w:p>
        </w:tc>
        <w:tc>
          <w:tcPr>
            <w:tcW w:type="dxa" w:w="794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Art. 505, art. 507 (só dentro da transcrição), art. 1.000, parágrafo único, e art. 1.015, parágrafo único, do CPC: usos corretos. A peça não adota o art. 507 como fundamento próprio.</w:t>
            </w:r>
          </w:p>
        </w:tc>
      </w:tr>
    </w:tbl>
    <w:p>
      <w:pPr>
        <w:spacing w:after="120"/>
      </w:pPr>
    </w:p>
    <w:p>
      <w:pPr>
        <w:pStyle w:val="Heading1"/>
        <w:keepNext/>
      </w:pPr>
      <w:r>
        <w:rPr>
          <w:rFonts w:ascii="Times New Roman" w:cs="Times New Roman" w:eastAsia="Times New Roman" w:hAnsi="Times New Roman"/>
        </w:rPr>
        <w:t xml:space="preserve">T3 — Ponto (1): "a mesma base que o item 2 de fls. 3066 viria a adotar em 2025"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1"/>
        <w:gridCol w:w="1201"/>
        <w:gridCol w:w="3154"/>
        <w:gridCol w:w="9014"/>
      </w:tblGrid>
      <w:tr>
        <w:trPr>
          <w:cantSplit/>
          <w:tblHeader/>
        </w:trPr>
        <w:tc>
          <w:tcPr>
            <w:tcW w:type="dxa" w:w="12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#</w:t>
            </w:r>
          </w:p>
        </w:tc>
        <w:tc>
          <w:tcPr>
            <w:tcW w:type="dxa" w:w="12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Sinal</w:t>
            </w:r>
          </w:p>
        </w:tc>
        <w:tc>
          <w:tcPr>
            <w:tcW w:type="dxa" w:w="31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Item</w:t>
            </w:r>
          </w:p>
        </w:tc>
        <w:tc>
          <w:tcPr>
            <w:tcW w:type="dxa" w:w="90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Observação</w:t>
            </w:r>
          </w:p>
        </w:tc>
      </w:tr>
      <w:tr>
        <w:trPr>
          <w:cantSplit/>
          <w:tblHeader w:val="false"/>
        </w:trPr>
        <w:tc>
          <w:tcPr>
            <w:tcW w:type="dxa" w:w="12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16</w:t>
            </w:r>
          </w:p>
        </w:tc>
        <w:tc>
          <w:tcPr>
            <w:tcW w:type="dxa" w:w="12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🟨</w:t>
            </w:r>
          </w:p>
        </w:tc>
        <w:tc>
          <w:tcPr>
            <w:tcW w:type="dxa" w:w="31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Alcance da comparação</w:t>
            </w:r>
          </w:p>
        </w:tc>
        <w:tc>
          <w:tcPr>
            <w:tcW w:type="dxa" w:w="90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fls. 165: principal atualizado R$ 26.245,89 + "taxa efetiva" R$ 33.987,58 (encargo contratual mensal, demonstrado a fls. 166/168 coluna "Tx. Efetiva") + juros de 1% ao mês desde 5/87 (93%) sobre a soma anterior + multa 10% + honorários 20% = R$ 161.057,71. fls. 3066: correção monetária só do principal desde maio/1987 + juros legais sobre o principal corrigido + multa e honorários em separado. A coincidência é apenas o ponto de partida (principal de Cz$ 1.210.000,00 de maio/1987 como base da correção); os encargos são diversos (contratuais em 1995, legais em 2025). "A mesma base" pode ser lida como "a mesma metodologia", e o agravado explorará a diferença.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Redação mínima proposta: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"partia do principal de Cz$ 1.210.000,00 de maio de 1987 — o mesmo ponto de partida que o item 2 de fls. 3066 viria a adotar em 2025, ainda que com encargos diversos." (acréscimo de nove palavras).</w:t>
            </w:r>
          </w:p>
        </w:tc>
      </w:tr>
    </w:tbl>
    <w:p>
      <w:pPr>
        <w:spacing w:after="120"/>
      </w:pPr>
    </w:p>
    <w:p>
      <w:pPr>
        <w:pStyle w:val="Heading1"/>
        <w:keepNext/>
      </w:pPr>
      <w:r>
        <w:rPr>
          <w:rFonts w:ascii="Times New Roman" w:cs="Times New Roman" w:eastAsia="Times New Roman" w:hAnsi="Times New Roman"/>
        </w:rPr>
        <w:t xml:space="preserve">T3 — Ponto (2): "nenhuma a impugnou" (fls. 200 a 204)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89"/>
        <w:gridCol w:w="1189"/>
        <w:gridCol w:w="3270"/>
        <w:gridCol w:w="8922"/>
      </w:tblGrid>
      <w:tr>
        <w:trPr>
          <w:cantSplit/>
          <w:tblHeader/>
        </w:trPr>
        <w:tc>
          <w:tcPr>
            <w:tcW w:type="dxa" w:w="118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#</w:t>
            </w:r>
          </w:p>
        </w:tc>
        <w:tc>
          <w:tcPr>
            <w:tcW w:type="dxa" w:w="118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Sinal</w:t>
            </w:r>
          </w:p>
        </w:tc>
        <w:tc>
          <w:tcPr>
            <w:tcW w:type="dxa" w:w="32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Item</w:t>
            </w:r>
          </w:p>
        </w:tc>
        <w:tc>
          <w:tcPr>
            <w:tcW w:type="dxa" w:w="89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Observação</w:t>
            </w:r>
          </w:p>
        </w:tc>
      </w:tr>
      <w:tr>
        <w:trPr>
          <w:cantSplit/>
          <w:tblHeader w:val="false"/>
        </w:trPr>
        <w:tc>
          <w:tcPr>
            <w:tcW w:type="dxa" w:w="118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17</w:t>
            </w:r>
          </w:p>
        </w:tc>
        <w:tc>
          <w:tcPr>
            <w:tcW w:type="dxa" w:w="118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🟩</w:t>
            </w:r>
          </w:p>
        </w:tc>
        <w:tc>
          <w:tcPr>
            <w:tcW w:type="dxa" w:w="32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Intervalo fls. 200/204</w:t>
            </w:r>
          </w:p>
        </w:tc>
        <w:tc>
          <w:tcPr>
            <w:tcW w:type="dxa" w:w="89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Conferido folha a folha. fls. 200: despacho de vista (06/10/1995). fls. 201: publicação (27/10/1995) e juntada de petição (16/11/1995).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fls. 202 (carimbo 151): petição do Banespa, de 08/11/1995, "para informar que nada tem a opor com relação ao pedido de habilitação de crédito feito às fls. 138/139"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— trata só da habilitação do Bradesco; nada diz sobre a conta. fls. 203: homologação, que registra o silêncio do exequente ("sobre a qual não se manifestou o exequente"), defere a habilitação "ante a concordância manifestada a fls. 151" e designa praças (13 e 27/02/1996). fls. 204: certidões de publicação e de decurso "sem manifestação das partes" quanto à homologação.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Não há nenhuma manifestação do executado no intervalo.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A afirmação "nenhuma a impugnou" é verdadeira: a do exequente por registro expresso (fls. 203) e a do executado por ausência nos autos (fls. 200/204) e pela certidão de fls. 204.</w:t>
            </w:r>
          </w:p>
        </w:tc>
      </w:tr>
      <w:tr>
        <w:trPr>
          <w:cantSplit/>
          <w:tblHeader w:val="false"/>
        </w:trPr>
        <w:tc>
          <w:tcPr>
            <w:tcW w:type="dxa" w:w="118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18</w:t>
            </w:r>
          </w:p>
        </w:tc>
        <w:tc>
          <w:tcPr>
            <w:tcW w:type="dxa" w:w="118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🟨</w:t>
            </w:r>
          </w:p>
        </w:tc>
        <w:tc>
          <w:tcPr>
            <w:tcW w:type="dxa" w:w="32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Precisão opcional</w:t>
            </w:r>
          </w:p>
        </w:tc>
        <w:tc>
          <w:tcPr>
            <w:tcW w:type="dxa" w:w="89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Como a homologação registra expressamente só o silêncio do exequente, o agravado pode dizer que o executado "não foi ouvido". A publicação de fls. 201 intimou ambas as partes pela imprensa e a certidão de fls. 204 cobre ambas. Se quiser blindar sem alongar: "nenhuma a impugnou (fls. 202/204)". Não é obrigatório.</w:t>
            </w:r>
          </w:p>
        </w:tc>
      </w:tr>
      <w:tr>
        <w:trPr>
          <w:cantSplit/>
          <w:tblHeader w:val="false"/>
        </w:trPr>
        <w:tc>
          <w:tcPr>
            <w:tcW w:type="dxa" w:w="118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</w:t>
            </w:r>
          </w:p>
        </w:tc>
        <w:tc>
          <w:tcPr>
            <w:tcW w:type="dxa" w:w="118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🟨</w:t>
            </w:r>
          </w:p>
        </w:tc>
        <w:tc>
          <w:tcPr>
            <w:tcW w:type="dxa" w:w="32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Praças em fls. 203</w:t>
            </w:r>
          </w:p>
        </w:tc>
        <w:tc>
          <w:tcPr>
            <w:tcW w:type="dxa" w:w="89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 mesmo despacho homologatório designou praças; o agravado pode sustentar que a homologação serviu "só para a praça". A peça não precisa antecipar isso; a Manifestação v3.17 já responde (Seção VI). Registro apenas.</w:t>
            </w:r>
          </w:p>
        </w:tc>
      </w:tr>
    </w:tbl>
    <w:p>
      <w:pPr>
        <w:spacing w:after="120"/>
      </w:pPr>
    </w:p>
    <w:p>
      <w:pPr>
        <w:pStyle w:val="Heading1"/>
        <w:keepNext/>
      </w:pPr>
      <w:r>
        <w:rPr>
          <w:rFonts w:ascii="Times New Roman" w:cs="Times New Roman" w:eastAsia="Times New Roman" w:hAnsi="Times New Roman"/>
        </w:rPr>
        <w:t xml:space="preserve">T4 — Coerência com a Manifestação v3.17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7"/>
        <w:gridCol w:w="857"/>
        <w:gridCol w:w="6427"/>
        <w:gridCol w:w="6429"/>
      </w:tblGrid>
      <w:tr>
        <w:trPr>
          <w:cantSplit/>
          <w:tblHeader/>
        </w:trPr>
        <w:tc>
          <w:tcPr>
            <w:tcW w:type="dxa" w:w="8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#</w:t>
            </w:r>
          </w:p>
        </w:tc>
        <w:tc>
          <w:tcPr>
            <w:tcW w:type="dxa" w:w="8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Sinal</w:t>
            </w:r>
          </w:p>
        </w:tc>
        <w:tc>
          <w:tcPr>
            <w:tcW w:type="dxa" w:w="64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Item</w:t>
            </w:r>
          </w:p>
        </w:tc>
        <w:tc>
          <w:tcPr>
            <w:tcW w:type="dxa" w:w="642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Observação</w:t>
            </w:r>
          </w:p>
        </w:tc>
      </w:tr>
      <w:tr>
        <w:trPr>
          <w:cantSplit/>
          <w:tblHeader w:val="false"/>
        </w:trPr>
        <w:tc>
          <w:tcPr>
            <w:tcW w:type="dxa" w:w="8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</w:t>
            </w:r>
          </w:p>
        </w:tc>
        <w:tc>
          <w:tcPr>
            <w:tcW w:type="dxa" w:w="8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🟩</w:t>
            </w:r>
          </w:p>
        </w:tc>
        <w:tc>
          <w:tcPr>
            <w:tcW w:type="dxa" w:w="64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Partes, origem, pedido</w:t>
            </w:r>
          </w:p>
        </w:tc>
        <w:tc>
          <w:tcPr>
            <w:tcW w:type="dxa" w:w="642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Agravado "Espólio de Sérgio Bueno Pereira da Cunha", 3ª Vara Cível de Ourinhos, pedido e.1 das razões e pedido (d) da Manifestação, honorários periciais a cargo dos agravantes, correção monetária e juros legais simples depois de 05/10/1995, não insistência na homologação de fls. 3419 (pedido (f) da v3.17): tudo coincide.</w:t>
            </w:r>
          </w:p>
        </w:tc>
      </w:tr>
      <w:tr>
        <w:trPr>
          <w:cantSplit/>
          <w:tblHeader w:val="false"/>
        </w:trPr>
        <w:tc>
          <w:tcPr>
            <w:tcW w:type="dxa" w:w="8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21</w:t>
            </w:r>
          </w:p>
        </w:tc>
        <w:tc>
          <w:tcPr>
            <w:tcW w:type="dxa" w:w="8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🟨</w:t>
            </w:r>
          </w:p>
        </w:tc>
        <w:tc>
          <w:tcPr>
            <w:tcW w:type="dxa" w:w="64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"provimento parcial" (item 1) × "provimento do agravo" (item 5 e Manifestação)</w:t>
            </w:r>
          </w:p>
        </w:tc>
        <w:tc>
          <w:tcPr>
            <w:tcW w:type="dxa" w:w="642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 v3.17 pede "o provimento do agravo nos termos dos pedidos d.1 a e.1" e registra a desistência parcial em item próprio. Os memoriais dizem "provimento parcial" no item 1 e "provimento" no item 5. Uniformizar: "pedem o provimento do agravo para que…" no item 1 (retirar "parcial"), deixando a delimitação para a frase seguinte ("Não insistem…"), como na v3.17.</w:t>
            </w:r>
          </w:p>
        </w:tc>
      </w:tr>
      <w:tr>
        <w:trPr>
          <w:cantSplit/>
          <w:tblHeader w:val="false"/>
        </w:trPr>
        <w:tc>
          <w:tcPr>
            <w:tcW w:type="dxa" w:w="8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22</w:t>
            </w:r>
          </w:p>
        </w:tc>
        <w:tc>
          <w:tcPr>
            <w:tcW w:type="dxa" w:w="8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🟩</w:t>
            </w:r>
          </w:p>
        </w:tc>
        <w:tc>
          <w:tcPr>
            <w:tcW w:type="dxa" w:w="64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Razão "Terceira" da v3.17</w:t>
            </w:r>
          </w:p>
        </w:tc>
        <w:tc>
          <w:tcPr>
            <w:tcW w:type="dxa" w:w="642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 parágrafo "A preclusão invocada pelo agravado é a perda…" reproduz a v3.17 (razão Terceira), sem a frase "que a precedeu" e sem "(razão Primeira)": simplificação correta para memoriais. Sem contradição.</w:t>
            </w:r>
          </w:p>
        </w:tc>
      </w:tr>
      <w:tr>
        <w:trPr>
          <w:cantSplit/>
          <w:tblHeader w:val="false"/>
        </w:trPr>
        <w:tc>
          <w:tcPr>
            <w:tcW w:type="dxa" w:w="8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23</w:t>
            </w:r>
          </w:p>
        </w:tc>
        <w:tc>
          <w:tcPr>
            <w:tcW w:type="dxa" w:w="8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🟩</w:t>
            </w:r>
          </w:p>
        </w:tc>
        <w:tc>
          <w:tcPr>
            <w:tcW w:type="dxa" w:w="64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Sem EAREsp 600.811 e sem EREsp 1.946.826</w:t>
            </w:r>
          </w:p>
        </w:tc>
        <w:tc>
          <w:tcPr>
            <w:tcW w:type="dxa" w:w="642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Confirmado: nenhum dos dois aparece. Nenhuma frase de "prevalência da decisão anterior".</w:t>
            </w:r>
          </w:p>
        </w:tc>
      </w:tr>
    </w:tbl>
    <w:p>
      <w:pPr>
        <w:spacing w:after="120"/>
      </w:pPr>
    </w:p>
    <w:p>
      <w:pPr>
        <w:pStyle w:val="Heading1"/>
        <w:keepNext/>
      </w:pPr>
      <w:r>
        <w:rPr>
          <w:rFonts w:ascii="Times New Roman" w:cs="Times New Roman" w:eastAsia="Times New Roman" w:hAnsi="Times New Roman"/>
        </w:rPr>
        <w:t xml:space="preserve">T5 — Os três alertas da simulação (v3.15)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7"/>
        <w:gridCol w:w="947"/>
        <w:gridCol w:w="5567"/>
        <w:gridCol w:w="7109"/>
      </w:tblGrid>
      <w:tr>
        <w:trPr>
          <w:cantSplit/>
          <w:tblHeader/>
        </w:trPr>
        <w:tc>
          <w:tcPr>
            <w:tcW w:type="dxa" w:w="94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#</w:t>
            </w:r>
          </w:p>
        </w:tc>
        <w:tc>
          <w:tcPr>
            <w:tcW w:type="dxa" w:w="94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Sinal</w:t>
            </w:r>
          </w:p>
        </w:tc>
        <w:tc>
          <w:tcPr>
            <w:tcW w:type="dxa" w:w="556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Alerta</w:t>
            </w:r>
          </w:p>
        </w:tc>
        <w:tc>
          <w:tcPr>
            <w:tcW w:type="dxa" w:w="710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Avaliação e proposta</w:t>
            </w:r>
          </w:p>
        </w:tc>
      </w:tr>
      <w:tr>
        <w:trPr>
          <w:cantSplit/>
          <w:tblHeader w:val="false"/>
        </w:trPr>
        <w:tc>
          <w:tcPr>
            <w:tcW w:type="dxa" w:w="94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24</w:t>
            </w:r>
          </w:p>
        </w:tc>
        <w:tc>
          <w:tcPr>
            <w:tcW w:type="dxa" w:w="94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🟨</w:t>
            </w:r>
          </w:p>
        </w:tc>
        <w:tc>
          <w:tcPr>
            <w:tcW w:type="dxa" w:w="556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AI 2378248 como faca de dois gumes</w:t>
            </w:r>
          </w:p>
        </w:tc>
        <w:tc>
          <w:tcPr>
            <w:tcW w:type="dxa" w:w="710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 v1.1 já cita o acórdão pelo fundamento da homologação anterior. Resta o risco de o agravado transcrever a p. 6 do mesmo voto ("não há que se falar em preclusão quanto ao desacerto de cálculo… art. 494, I").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Frase 1 (item 4, após a transcrição):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"O acórdão ressalva que o erro de cálculo é matéria de ordem pública (art. 494, I, do CPC), mas afasta a ressalva justamente quando há homologação anterior não impugnada — a hipótese destes autos."</w:t>
            </w:r>
          </w:p>
        </w:tc>
      </w:tr>
      <w:tr>
        <w:trPr>
          <w:cantSplit/>
          <w:tblHeader w:val="false"/>
        </w:trPr>
        <w:tc>
          <w:tcPr>
            <w:tcW w:type="dxa" w:w="94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</w:t>
            </w:r>
          </w:p>
        </w:tc>
        <w:tc>
          <w:tcPr>
            <w:tcW w:type="dxa" w:w="94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🟨</w:t>
            </w:r>
          </w:p>
        </w:tc>
        <w:tc>
          <w:tcPr>
            <w:tcW w:type="dxa" w:w="556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Magnitude do valor (R$ 33,7 mi) e capitalização</w:t>
            </w:r>
          </w:p>
        </w:tc>
        <w:tc>
          <w:tcPr>
            <w:tcW w:type="dxa" w:w="710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Os memoriais não declaram valor atualizado e limitam o pedido a correção monetária e juros legais simples, sem encargo contratual depois de 1995: a magnitude fica para a perícia, o que é correto. Não afirmam que a conta de 1995 "não contempla" capitalização, evitando o ponto fraco apontado na simulação.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Frase 2 (item 1 ou 5), que responde aos dois alertas de uma vez: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"Depois de 05/10/1995 pede-se exatamente o regime que fls. 3066 impõe — correção monetária e juros legais simples, sem capitalização de espécie alguma; a divergência está só na base, e a base foi homologada."</w:t>
            </w:r>
          </w:p>
        </w:tc>
      </w:tr>
      <w:tr>
        <w:trPr>
          <w:cantSplit/>
          <w:tblHeader w:val="false"/>
        </w:trPr>
        <w:tc>
          <w:tcPr>
            <w:tcW w:type="dxa" w:w="94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26</w:t>
            </w:r>
          </w:p>
        </w:tc>
        <w:tc>
          <w:tcPr>
            <w:tcW w:type="dxa" w:w="94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🟩</w:t>
            </w:r>
          </w:p>
        </w:tc>
        <w:tc>
          <w:tcPr>
            <w:tcW w:type="dxa" w:w="556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Limite de páginas</w:t>
            </w:r>
          </w:p>
        </w:tc>
        <w:tc>
          <w:tcPr>
            <w:tcW w:type="dxa" w:w="710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As duas frases somam cerca de 90 palavras; a página 2 está cheia, de modo que o item 5 passa para a página 3, que hoje contém só o fecho. Continua em 3 páginas.</w:t>
            </w:r>
          </w:p>
        </w:tc>
      </w:tr>
    </w:tbl>
    <w:p>
      <w:pPr>
        <w:spacing w:after="120"/>
      </w:pPr>
    </w:p>
    <w:p>
      <w:pPr>
        <w:pStyle w:val="Heading1"/>
        <w:keepNext/>
      </w:pPr>
      <w:r>
        <w:rPr>
          <w:rFonts w:ascii="Times New Roman" w:cs="Times New Roman" w:eastAsia="Times New Roman" w:hAnsi="Times New Roman"/>
        </w:rPr>
        <w:t xml:space="preserve">T6 — Forma do PDF de entrega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4"/>
        <w:gridCol w:w="1154"/>
        <w:gridCol w:w="3606"/>
        <w:gridCol w:w="8656"/>
      </w:tblGrid>
      <w:tr>
        <w:trPr>
          <w:cantSplit/>
          <w:tblHeader/>
        </w:trPr>
        <w:tc>
          <w:tcPr>
            <w:tcW w:type="dxa" w:w="11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#</w:t>
            </w:r>
          </w:p>
        </w:tc>
        <w:tc>
          <w:tcPr>
            <w:tcW w:type="dxa" w:w="11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Sinal</w:t>
            </w:r>
          </w:p>
        </w:tc>
        <w:tc>
          <w:tcPr>
            <w:tcW w:type="dxa" w:w="36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Item</w:t>
            </w:r>
          </w:p>
        </w:tc>
        <w:tc>
          <w:tcPr>
            <w:tcW w:type="dxa" w:w="86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Observação</w:t>
            </w:r>
          </w:p>
        </w:tc>
      </w:tr>
      <w:tr>
        <w:trPr>
          <w:cantSplit/>
          <w:tblHeader w:val="false"/>
        </w:trPr>
        <w:tc>
          <w:tcPr>
            <w:tcW w:type="dxa" w:w="11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27</w:t>
            </w:r>
          </w:p>
        </w:tc>
        <w:tc>
          <w:tcPr>
            <w:tcW w:type="dxa" w:w="11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🟥</w:t>
            </w:r>
          </w:p>
        </w:tc>
        <w:tc>
          <w:tcPr>
            <w:tcW w:type="dxa" w:w="36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Metadados do PDF</w:t>
            </w:r>
          </w:p>
        </w:tc>
        <w:tc>
          <w:tcPr>
            <w:tcW w:type="dxa" w:w="86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Campo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Título = "Microsoft Word - Claude_v1.1_PROTOCOLO_Memoriais_AI 2186351-2026"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. Contém "Claude" e "PROTOCOLO": o gabinete vê isso nas propriedades do arquivo e na aba do navegador. Corrigir antes da entrega: em Word, Arquivo › Informações › Propriedades, Título = "Memoriais dos agravantes — AI 2186351-42.2026.8.26.0000" e Autor = "José Maria Barbosa — OAB/SP 198.476"; salvar o .docx com nome neutro (ex.: "Memoriais_AI_2186351-42.2026.pdf") antes de imprimir em PDF, porque o "Microsoft: Print To PDF" copia o nome do arquivo para o título. Autor, Assunto, Palavras-chave e Criador estão vazios; Produtor "Microsoft: Print To PDF"; criação 30/09/2026 17:48 (-03:00).</w:t>
            </w:r>
          </w:p>
        </w:tc>
      </w:tr>
      <w:tr>
        <w:trPr>
          <w:cantSplit/>
          <w:tblHeader w:val="false"/>
        </w:trPr>
        <w:tc>
          <w:tcPr>
            <w:tcW w:type="dxa" w:w="11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28</w:t>
            </w:r>
          </w:p>
        </w:tc>
        <w:tc>
          <w:tcPr>
            <w:tcW w:type="dxa" w:w="11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🟩</w:t>
            </w:r>
          </w:p>
        </w:tc>
        <w:tc>
          <w:tcPr>
            <w:tcW w:type="dxa" w:w="36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Corpo</w:t>
            </w:r>
          </w:p>
        </w:tc>
        <w:tc>
          <w:tcPr>
            <w:tcW w:type="dxa" w:w="86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Nenhuma ocorrência de Claude, Anthropic, Opus, Fable ou ChatGPT no texto. Texto pesquisável, fontes incorporadas, numeração 1 a 3 no cabeçalho. Sem folha de controle.</w:t>
            </w:r>
          </w:p>
        </w:tc>
      </w:tr>
      <w:tr>
        <w:trPr>
          <w:cantSplit/>
          <w:tblHeader w:val="false"/>
        </w:trPr>
        <w:tc>
          <w:tcPr>
            <w:tcW w:type="dxa" w:w="11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29</w:t>
            </w:r>
          </w:p>
        </w:tc>
        <w:tc>
          <w:tcPr>
            <w:tcW w:type="dxa" w:w="11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🟨</w:t>
            </w:r>
          </w:p>
        </w:tc>
        <w:tc>
          <w:tcPr>
            <w:tcW w:type="dxa" w:w="36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Página 3 e fecho</w:t>
            </w:r>
          </w:p>
        </w:tc>
        <w:tc>
          <w:tcPr>
            <w:tcW w:type="dxa" w:w="86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Página 3 só com "Termos em que, pede deferimento", data e assinatura. Com as frases 1 e 2 a página 3 ganha o item 5 e deixa de ficar vazia. Grafia: "30 de Setembro" → "30 de setembro" (minúscula, como na v3.17). Se a entrega ao gabinete ocorrer depois de 30/09, ajustar a data.</w:t>
            </w:r>
          </w:p>
        </w:tc>
      </w:tr>
      <w:tr>
        <w:trPr>
          <w:cantSplit/>
          <w:tblHeader w:val="false"/>
        </w:trPr>
        <w:tc>
          <w:tcPr>
            <w:tcW w:type="dxa" w:w="11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30</w:t>
            </w:r>
          </w:p>
        </w:tc>
        <w:tc>
          <w:tcPr>
            <w:tcW w:type="dxa" w:w="11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🟩</w:t>
            </w:r>
          </w:p>
        </w:tc>
        <w:tc>
          <w:tcPr>
            <w:tcW w:type="dxa" w:w="36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Endereçamento e cabeçalho</w:t>
            </w:r>
          </w:p>
        </w:tc>
        <w:tc>
          <w:tcPr>
            <w:tcW w:type="dxa" w:w="86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Relatora e Câmara corretos; número do AI correto; nome dos três agravantes idêntico à v3.17.</w:t>
            </w:r>
          </w:p>
        </w:tc>
      </w:tr>
    </w:tbl>
    <w:p>
      <w:pPr>
        <w:spacing w:after="120"/>
      </w:pPr>
    </w:p>
    <w:p>
      <w:pPr>
        <w:spacing w:after="4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Veredito: v1.1 APTA, com uma correção obrigatória antes da entrega (item 27, metadados e nome do arquivo) e três ajustes de redação recomendados (itens 16, 21 e 29); frases 1 e 2 (itens 24 e 25) opcionais, cabendo em 3 páginas.</w:t>
      </w:r>
    </w:p>
    <w:p>
      <w:pPr>
        <w:spacing w:after="4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Itens que não pude verificar: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 a Relação de Citações v.1.1 (não enviada; conferi a v.1 e a alteração descrita pelo senhor para fls. 3344/3351); a versão .docx de origem (só o PDF impresso); se o executado tinha advogado constituído em outubro/novembro de 1995 para efeito da intimação de fls. 201 (a certidão de fls. 204 fala em "partes", o que supre).</w:t>
      </w:r>
    </w:p>
    <w:p>
      <w:pPr>
        <w:spacing w:after="4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Páginas lidas: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 Memoriais v1.1: 3 de 3. Autos: fls. 165/169, 174/175, 200/205 e 3041, 3055, 3065/3066 e-SAJ em imagem ou texto pesquisável (14 folhas). AI 2378248: 9 de 9.</w:t>
      </w:r>
    </w:p>
    <w:sectPr>
      <w:headerReference w:type="default" r:id="rId7"/>
      <w:footerReference w:type="default" r:id="rId8"/>
      <w:pgSz w:w="16838" w:h="11906" w:orient="landscape"/>
      <w:pgMar w:top="1701" w:right="1134" w:bottom="1134" w:left="1134" w:header="709" w:footer="56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595959"/>
        <w:sz w:val="18"/>
        <w:szCs w:val="18"/>
      </w:rPr>
      <w:t xml:space="preserve">Documento de trabalho — uso restrito da parte e de seu advogado   |   Página </w:t>
    </w:r>
    <w:r>
      <w:rPr>
        <w:rFonts w:ascii="Times New Roman" w:cs="Times New Roman" w:eastAsia="Times New Roman" w:hAnsi="Times New Roman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color w:val="595959"/>
        <w:sz w:val="18"/>
        <w:szCs w:val="18"/>
      </w:rPr>
      <w:t xml:space="preserve"> de </w:t>
    </w:r>
    <w:r>
      <w:rPr>
        <w:rFonts w:ascii="Times New Roman" w:cs="Times New Roman" w:eastAsia="Times New Roman" w:hAnsi="Times New Roman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08080" w:sz="4" w:space="2"/>
      </w:pBdr>
      <w:jc w:val="right"/>
    </w:pPr>
    <w:r>
      <w:rPr>
        <w:rFonts w:ascii="Times New Roman" w:cs="Times New Roman" w:eastAsia="Times New Roman" w:hAnsi="Times New Roman"/>
        <w:color w:val="595959"/>
        <w:sz w:val="18"/>
        <w:szCs w:val="18"/>
      </w:rPr>
      <w:t xml:space="preserve">Auditoria adversarial — Memoriais v1.1 — AI nº 2186351-42.2026.8.26.0000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7" w:hanging="283"/>
      </w:pPr>
    </w:lvl>
    <w:lvl w:ilvl="1" w15:tentative="1">
      <w:start w:val="1"/>
      <w:numFmt w:val="bullet"/>
      <w:lvlText w:val="–"/>
      <w:lvlJc w:val="left"/>
      <w:pPr>
        <w:ind w:left="1134" w:hanging="283"/>
      </w:pPr>
    </w:lvl>
    <w:lvl w:ilvl="2" w15:tentative="1">
      <w:start w:val="1"/>
      <w:numFmt w:val="bullet"/>
      <w:lvlText w:val="▪"/>
      <w:lvlJc w:val="left"/>
      <w:pPr>
        <w:ind w:left="1701" w:hanging="283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864" w:sz="6" w:space="2"/>
      </w:pBdr>
      <w:spacing w:after="180" w:before="360"/>
      <w:outlineLvl w:val="0"/>
    </w:pPr>
    <w:rPr>
      <w:rFonts w:ascii="Times New Roman" w:cs="Times New Roman" w:eastAsia="Times New Roman" w:hAnsi="Times New Roman"/>
      <w:b/>
      <w:bCs/>
      <w:color w:val="1F3864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Times New Roman" w:cs="Times New Roman" w:eastAsia="Times New Roman" w:hAnsi="Times New Roman"/>
      <w:b/>
      <w:bCs/>
      <w:color w:val="1F3864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Times New Roman" w:cs="Times New Roman" w:eastAsia="Times New Roman" w:hAnsi="Times New Roman"/>
      <w:b/>
      <w:bCs/>
      <w:i/>
      <w:i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Parecer de Auditoria Jurídico-Processual — AI 2186351-42.2026.8.26.0000</dc:title>
  <dc:creator>Parecer técnico</dc:creator>
  <cp:lastModifiedBy>Un-named</cp:lastModifiedBy>
  <cp:revision>1</cp:revision>
  <dcterms:created xsi:type="dcterms:W3CDTF">2026-09-30T20:56:57.481Z</dcterms:created>
  <dcterms:modified xsi:type="dcterms:W3CDTF">2026-09-30T20:56:57.489Z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