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rFonts w:ascii="Times New Roman" w:cs="Times New Roman" w:eastAsia="Times New Roman" w:hAnsi="Times New Roman"/>
          <w:b/>
          <w:bCs/>
          <w:color w:val="1F3864"/>
          <w:sz w:val="30"/>
          <w:szCs w:val="30"/>
        </w:rPr>
        <w:t xml:space="preserve">AUDITORIA PENTE-FINO PARA MEMORIAIS — AI 2186351-42.2026.8.26.0000 — versão 3</w:t>
      </w:r>
    </w:p>
    <w:p>
      <w:pPr>
        <w:spacing w:after="40" w:line="276"/>
        <w:jc w:val="center"/>
      </w:pPr>
      <w:r>
        <w:rPr>
          <w:rFonts w:ascii="Times New Roman" w:cs="Times New Roman" w:eastAsia="Times New Roman" w:hAnsi="Times New Roman"/>
          <w:b/>
          <w:bCs/>
          <w:i w:val="false"/>
          <w:iCs w:val="false"/>
        </w:rPr>
        <w:t xml:space="preserve">Claude Opus 5.5 (Anthropic) | Data: 28/09/2026 | Hora: 08:56:02 (Brasília) | Chat: Auditoria EPE Ourinhos</w:t>
      </w:r>
    </w:p>
    <w:p>
      <w:pPr>
        <w:spacing w:after="40" w:line="276"/>
        <w:jc w:val="center"/>
      </w:pPr>
      <w:r>
        <w:rPr>
          <w:rFonts w:ascii="Times New Roman" w:cs="Times New Roman" w:eastAsia="Times New Roman" w:hAnsi="Times New Roman"/>
          <w:b/>
          <w:bCs/>
          <w:i w:val="false"/>
          <w:iCs w:val="false"/>
        </w:rPr>
        <w:t xml:space="preserve">Alterações da v3 (28/09/2026):</w:t>
      </w:r>
      <w:r>
        <w:rPr>
          <w:rFonts w:ascii="Times New Roman" w:cs="Times New Roman" w:eastAsia="Times New Roman" w:hAnsi="Times New Roman"/>
          <w:b w:val="false"/>
          <w:bCs w:val="false"/>
          <w:i w:val="false"/>
          <w:iCs w:val="false"/>
        </w:rPr>
        <w:t xml:space="preserve"> (i) leitura integral dos três julgados novos do Drive: TJSP AI 2181564-67.2026, AI 2297076-69.2024 e EDcl 0114335-38.2025.8.26.9061; (ii) confirmação de que a Resolução TJSP 984/2025 revogou as Resoluções 549/2011, 772/2017 e 903/2023, o que reescreve o G1; (iii) releitura da fls. 52 e-SAJ / 23 física, com achado novo no B1; (iv) leitura integral do REsp 1.538.235/DF (presente no Drive), que é </w:t>
      </w:r>
      <w:r>
        <w:rPr>
          <w:rFonts w:ascii="Times New Roman" w:cs="Times New Roman" w:eastAsia="Times New Roman" w:hAnsi="Times New Roman"/>
          <w:b/>
          <w:bCs/>
          <w:i w:val="false"/>
          <w:iCs w:val="false"/>
        </w:rPr>
        <w:t xml:space="preserve">contrário</w:t>
      </w:r>
      <w:r>
        <w:rPr>
          <w:rFonts w:ascii="Times New Roman" w:cs="Times New Roman" w:eastAsia="Times New Roman" w:hAnsi="Times New Roman"/>
          <w:b w:val="false"/>
          <w:bCs w:val="false"/>
          <w:i w:val="false"/>
          <w:iCs w:val="false"/>
        </w:rPr>
        <w:t xml:space="preserve">; (v) novo </w:t>
      </w:r>
      <w:r>
        <w:rPr>
          <w:rFonts w:ascii="Times New Roman" w:cs="Times New Roman" w:eastAsia="Times New Roman" w:hAnsi="Times New Roman"/>
          <w:b/>
          <w:bCs/>
          <w:i w:val="false"/>
          <w:iCs w:val="false"/>
        </w:rPr>
        <w:t xml:space="preserve">Bloco I</w:t>
      </w:r>
      <w:r>
        <w:rPr>
          <w:rFonts w:ascii="Times New Roman" w:cs="Times New Roman" w:eastAsia="Times New Roman" w:hAnsi="Times New Roman"/>
          <w:b w:val="false"/>
          <w:bCs w:val="false"/>
          <w:i w:val="false"/>
          <w:iCs w:val="false"/>
        </w:rPr>
        <w:t xml:space="preserve">, com a conferência ponto a ponto da auditoria produzida pelo Gemini 1.5 Pro em 27/09/2026.</w:t>
      </w:r>
    </w:p>
    <w:p>
      <w:pPr>
        <w:spacing w:after="40" w:line="276"/>
        <w:jc w:val="center"/>
      </w:pPr>
      <w:r>
        <w:rPr>
          <w:rFonts w:ascii="Times New Roman" w:cs="Times New Roman" w:eastAsia="Times New Roman" w:hAnsi="Times New Roman"/>
          <w:b/>
          <w:bCs/>
          <w:i w:val="false"/>
          <w:iCs w:val="false"/>
        </w:rPr>
        <w:t xml:space="preserve">Alterações da v2 (27/09/2026):</w:t>
      </w:r>
      <w:r>
        <w:rPr>
          <w:rFonts w:ascii="Times New Roman" w:cs="Times New Roman" w:eastAsia="Times New Roman" w:hAnsi="Times New Roman"/>
          <w:b w:val="false"/>
          <w:bCs w:val="false"/>
          <w:i w:val="false"/>
          <w:iCs w:val="false"/>
        </w:rPr>
        <w:t xml:space="preserve"> leitura integral de "pag 55 a 173" (119 de 119 páginas); leitura dos cinco julgados novos (Apelação 0017993-79.2012; AREsp 1.539.138/SP e AgInt; AI 2143351-60.2024; EDcl Ap. 0019853-52.2024). Blocos reescritos: A6, B2, B3, B6, E2, G1, H4, H5, tabela de arquivos, faltantes e jurisprudência.</w:t>
      </w:r>
    </w:p>
    <w:p>
      <w:pPr>
        <w:pStyle w:val="Heading1"/>
        <w:keepNext/>
      </w:pPr>
      <w:r>
        <w:rPr>
          <w:rFonts w:ascii="Times New Roman" w:cs="Times New Roman" w:eastAsia="Times New Roman" w:hAnsi="Times New Roman"/>
        </w:rPr>
        <w:t xml:space="preserve">Arquivos recebidos e status de leitura</w:t>
      </w:r>
    </w:p>
    <w:p>
      <w:pPr>
        <w:spacing w:after="120" w:line="360"/>
        <w:jc w:val="both"/>
      </w:pPr>
      <w:r>
        <w:rPr>
          <w:rFonts w:ascii="Times New Roman" w:cs="Times New Roman" w:eastAsia="Times New Roman" w:hAnsi="Times New Roman"/>
          <w:b w:val="false"/>
          <w:bCs w:val="false"/>
          <w:i w:val="false"/>
          <w:iCs w:val="false"/>
        </w:rPr>
        <w:t xml:space="preserve">Fonte principal: pasta "Chavantes 84 alqueires" no Google Drive. "Pág. PDF/e-SAJ" = número "fls. N" impresso pelo e-SAJ; "física" = carimbo manuscrito do 3º Ofício.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5"/>
        <w:gridCol w:w="2591"/>
        <w:gridCol w:w="950"/>
        <w:gridCol w:w="2591"/>
        <w:gridCol w:w="2594"/>
      </w:tblGrid>
      <w:tr>
        <w:trPr>
          <w:cantSplit/>
          <w:tblHeader/>
        </w:trPr>
        <w:tc>
          <w:tcPr>
            <w:tcW w:type="dxa" w:w="3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w:t>
            </w:r>
          </w:p>
        </w:tc>
        <w:tc>
          <w:tcPr>
            <w:tcW w:type="dxa" w:w="259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Arquivo</w:t>
            </w:r>
          </w:p>
        </w:tc>
        <w:tc>
          <w:tcPr>
            <w:tcW w:type="dxa" w:w="95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Páginas</w:t>
            </w:r>
          </w:p>
        </w:tc>
        <w:tc>
          <w:tcPr>
            <w:tcW w:type="dxa" w:w="259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Lidas</w:t>
            </w:r>
          </w:p>
        </w:tc>
        <w:tc>
          <w:tcPr>
            <w:tcW w:type="dxa" w:w="259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Observação</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DEF O 4.8 84.27 ALQUEIRES CHAV - PETICIONADA jm.txt (decisão agravada, petição do executado, agravo, parecer Fred)</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1.593 linhas</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todas</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27 a 55.pdf (inicial, cédula, cite-se, mandado)</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29</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29 (imagem)</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27 a 55 e-SAJ</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55 a 173 citacao ate calculo da contadoria.pdf</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119</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119 de 119</w:t>
            </w:r>
            <w:r>
              <w:rPr>
                <w:rFonts w:ascii="Times New Roman" w:cs="Times New Roman" w:eastAsia="Times New Roman" w:hAnsi="Times New Roman"/>
                <w:b w:val="false"/>
                <w:bCs w:val="false"/>
                <w:i w:val="false"/>
                <w:iCs w:val="false"/>
                <w:sz w:val="19"/>
                <w:szCs w:val="19"/>
              </w:rPr>
              <w:t xml:space="preserve"> (imagem; 5 páginas giradas re-renderizadas; fls. 57 ilegível)</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52 a 54.pdf + pagina 52 mostrando 20% manuscrito.png</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 + 1</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todas, com ampliação a 800 dpi</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165 a 168 calculo da contadoria 1995.pdf</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 (fls. 165 e 168)</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174 175 178 179 impugnacao dos calculo remessa contadoria.pdf</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177 2a vez 20% honorarios Banespa.pdf</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8</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Conta da Contadoria fls. 179 a 183 e-SAJ (dois arquivos, um deles rotulado "pag 771-786")</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o arquivo "pag 771-786" contém as fls. 179/183, não 771/786</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9</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202 resposta banespa perg juiz.pdf</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203-204 homologação + certidão + pag 152 e verso</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11</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537 a 543 1a cessao + pag 1670-1675 CESSAO</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 + 6</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todas</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mesmo documento em duas cópias</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12</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786 a 790.pdf (decisão 16/05/2012)</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1930 a 1933.pdf (na verdade fls. 1931/1934)</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14</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1943 a 1950.pdf (fls. 1944/1951) e pag 1944-1950</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8</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8</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15</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1536-1538 juros 1 aa (fls. 1537/1539)</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16</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-1057 proc devedor pede contadoria; transito e julgado 13082010 (= fls. 2572)</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 + 1</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todas</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17</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305 a 315 pag 3038 a 3044 rejeicao (decisão 08/05/2025) + 3037,3040-3042</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 + 4</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todas</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18</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3064 a 3066 juiz determina metodo calculo</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19</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DJSP 09/05/2025 partes 1 e 2</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20</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Embargos à Execução 0015252 (dois PDFs)</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 + 2</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todas</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só extratos de andamento; sem sentença/acórdão</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21</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Planilhas 2007-2025 (11 arquivos)</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19</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19</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22</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5a 8 rejeição da exceção (= acórdão AI 2236642, fls. 3345/3348) + TJ-SP AI 2236642</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 + 7</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todas</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23</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2236655-84.2022</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sem certidão de trânsito</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24</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54 a 63 acórdão AI 2353386 (fls. 3394/3403)</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acórdão truncado; falta a última página do voto</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25</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0000001-82.1987.8.26 - 5 - 3341 a 3440.pdf e -2 pag 3341 ate 3459.pdf</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100 + 19</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todas (texto)</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26</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98 megas.txt (texto extraído dos autos)</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2.996 páginas marcadas</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busca integral; folhas &lt; 1290 sem texto</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usado só nas folhas conferidas por imagem</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27</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2186351-42.2026 consulta TJSP (26/09) + PUBLICACAO 04082026</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 + 1</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todas</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28</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Jurisprudência: EDcl e EREsp 1.229.406/SP; REsp 148.938/RJ; AgInt AREsp 2.500.976/PR; AgInt REsp 2.127.021/DF; REsp 2.018.575/PR; EDcl REsp 2.178.097/RS; REsp 1.655.655/SP; AREsp 2.569.822/DF (3 arquivos); REsp 1.795.982/SP; EAREsp 600.811/SP; REsp 1.061.530/RS + Súmula 381; AREsp 43.936/RJ; AgInt EDcl AREsp 1.122.847/SP; REsp 1.984.424/SP (+ notícia + certidão); REsp 1.861.550/DF; REsp 1.256.633/RS; REsp 256.832/CE; AgInt AREsp 2.019.623/SP; AgInt REsp 1.476.534/CE; Súmulas 93, 596, 254, 121; DL 413/69; TJSP AI 2123223-58.2020; AI 2250267-55.2023; AI 2401202-39.2025; AI 2065526-45.2021 (Registro 2021.0000902160)</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integrais, salvo: REsp 1.795.982 (lidas 1-10, 76-78, 89-91 de 126), EAREsp 600.811 (1-17 e 60-63 de 63), REsp 1.061.530 (1-9, 35-37, 87-88, 97-98 de 98), Súmula 93 (1-8 de 38)</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29</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AgInt no AREsp 1539138 SP" (ID 10snRaqX9…)</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arquivo errado (fls. 786/790 dos autos); </w:t>
            </w:r>
            <w:r>
              <w:rPr>
                <w:rFonts w:ascii="Times New Roman" w:cs="Times New Roman" w:eastAsia="Times New Roman" w:hAnsi="Times New Roman"/>
                <w:b/>
                <w:bCs/>
                <w:i w:val="false"/>
                <w:iCs w:val="false"/>
                <w:sz w:val="19"/>
                <w:szCs w:val="19"/>
              </w:rPr>
              <w:t xml:space="preserve">substituído em 28/09 por "STJ AREsp 1539138" (2 p.) e "STJ AgInt no AREsp 1539138" (4 p.), lidos integralmente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30</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Apelação 0017993-79.2012.8.26.0408 (15 p.); TJ-SP AI 2143351-60.2024 (11 p.); TJ-SP EDcl Ap. 0019853-52.2024 (5 p.)</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31</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31</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subidos em 27-28/09</w:t>
            </w:r>
          </w:p>
        </w:tc>
      </w:tr>
    </w:tbl>
    <w:p>
      <w:pPr>
        <w:spacing w:after="120"/>
      </w:pPr>
    </w:p>
    <w:p>
      <w:pPr>
        <w:spacing w:after="40" w:line="276"/>
        <w:jc w:val="center"/>
      </w:pPr>
      <w:r>
        <w:rPr>
          <w:rFonts w:ascii="Times New Roman" w:cs="Times New Roman" w:eastAsia="Times New Roman" w:hAnsi="Times New Roman"/>
          <w:b/>
          <w:bCs/>
          <w:i w:val="false"/>
          <w:iCs w:val="false"/>
        </w:rPr>
        <w:t xml:space="preserve">Não abertos</w:t>
      </w:r>
      <w:r>
        <w:rPr>
          <w:rFonts w:ascii="Times New Roman" w:cs="Times New Roman" w:eastAsia="Times New Roman" w:hAnsi="Times New Roman"/>
          <w:b w:val="false"/>
          <w:bCs w:val="false"/>
          <w:i w:val="false"/>
          <w:iCs w:val="false"/>
        </w:rPr>
        <w:t xml:space="preserve"> (tamanho acima do limite do conector): 98 megas.pdf; pag 1 A 204 (8 MB); 2 - 901 a 1800 (33 MB); 3 - 1801 a 2700 (57 MB); 4 - 2701 a 3341 (25 MB); 305 a 315 Resposta (20 MB; conteúdo obtido pelo .txt).</w:t>
      </w:r>
    </w:p>
    <w:p>
      <w:pPr>
        <w:pStyle w:val="Heading1"/>
        <w:keepNext/>
      </w:pPr>
      <w:r>
        <w:rPr>
          <w:rFonts w:ascii="Times New Roman" w:cs="Times New Roman" w:eastAsia="Times New Roman" w:hAnsi="Times New Roman"/>
        </w:rPr>
        <w:t xml:space="preserve">PRIMEIRO PASSO — documentos que ainda faltam</w:t>
      </w:r>
    </w:p>
    <w:p>
      <w:pPr>
        <w:spacing w:after="120" w:line="360"/>
        <w:jc w:val="both"/>
      </w:pPr>
      <w:r>
        <w:rPr>
          <w:rFonts w:ascii="Times New Roman" w:cs="Times New Roman" w:eastAsia="Times New Roman" w:hAnsi="Times New Roman"/>
          <w:b w:val="false"/>
          <w:bCs w:val="false"/>
          <w:i w:val="false"/>
          <w:iCs w:val="false"/>
        </w:rPr>
        <w:t xml:space="preserve">Os itens abaixo </w:t>
      </w:r>
      <w:r>
        <w:rPr>
          <w:rFonts w:ascii="Times New Roman" w:cs="Times New Roman" w:eastAsia="Times New Roman" w:hAnsi="Times New Roman"/>
          <w:b/>
          <w:bCs/>
          <w:i w:val="false"/>
          <w:iCs w:val="false"/>
        </w:rPr>
        <w:t xml:space="preserve">não estão no Drive</w:t>
      </w:r>
      <w:r>
        <w:rPr>
          <w:rFonts w:ascii="Times New Roman" w:cs="Times New Roman" w:eastAsia="Times New Roman" w:hAnsi="Times New Roman"/>
          <w:b w:val="false"/>
          <w:bCs w:val="false"/>
          <w:i w:val="false"/>
          <w:iCs w:val="false"/>
        </w:rPr>
        <w:t xml:space="preserve"> (busca por título e por texto). Peço em dois grupos.</w:t>
      </w:r>
    </w:p>
    <w:p>
      <w:pPr>
        <w:spacing w:after="40" w:line="276"/>
        <w:jc w:val="center"/>
      </w:pPr>
      <w:r>
        <w:rPr>
          <w:rFonts w:ascii="Times New Roman" w:cs="Times New Roman" w:eastAsia="Times New Roman" w:hAnsi="Times New Roman"/>
          <w:b/>
          <w:bCs/>
          <w:i w:val="false"/>
          <w:iCs w:val="false"/>
        </w:rPr>
        <w:t xml:space="preserve">Grupo 1 — peças dos autos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14"/>
        <w:gridCol w:w="3860"/>
        <w:gridCol w:w="836"/>
        <w:gridCol w:w="3861"/>
      </w:tblGrid>
      <w:tr>
        <w:trPr>
          <w:cantSplit/>
          <w:tblHeader/>
        </w:trPr>
        <w:tc>
          <w:tcPr>
            <w:tcW w:type="dxa" w:w="51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w:t>
            </w:r>
          </w:p>
        </w:tc>
        <w:tc>
          <w:tcPr>
            <w:tcW w:type="dxa" w:w="386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Documento</w:t>
            </w:r>
          </w:p>
        </w:tc>
        <w:tc>
          <w:tcPr>
            <w:tcW w:type="dxa" w:w="83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Bloco afetado</w:t>
            </w:r>
          </w:p>
        </w:tc>
        <w:tc>
          <w:tcPr>
            <w:tcW w:type="dxa" w:w="386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Onde deve estar</w:t>
            </w:r>
          </w:p>
        </w:tc>
      </w:tr>
      <w:tr>
        <w:trPr>
          <w:cantSplit/>
          <w:tblHeader w:val="false"/>
        </w:trPr>
        <w:tc>
          <w:tcPr>
            <w:tcW w:type="dxa" w:w="5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w:t>
            </w:r>
          </w:p>
        </w:tc>
        <w:tc>
          <w:tcPr>
            <w:tcW w:type="dxa" w:w="38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Contraminuta</w:t>
            </w:r>
            <w:r>
              <w:rPr>
                <w:rFonts w:ascii="Times New Roman" w:cs="Times New Roman" w:eastAsia="Times New Roman" w:hAnsi="Times New Roman"/>
                <w:b w:val="false"/>
                <w:bCs w:val="false"/>
                <w:i w:val="false"/>
                <w:iCs w:val="false"/>
                <w:sz w:val="19"/>
                <w:szCs w:val="19"/>
              </w:rPr>
              <w:t xml:space="preserve"> do executado (WPRO.26.01280402-4, 24/08/2026)</w:t>
            </w:r>
          </w:p>
        </w:tc>
        <w:tc>
          <w:tcPr>
            <w:tcW w:type="dxa" w:w="83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G3, D2</w:t>
            </w:r>
          </w:p>
        </w:tc>
        <w:tc>
          <w:tcPr>
            <w:tcW w:type="dxa" w:w="38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e-SAJ 2º grau</w:t>
            </w:r>
          </w:p>
        </w:tc>
      </w:tr>
      <w:tr>
        <w:trPr>
          <w:cantSplit/>
          <w:tblHeader w:val="false"/>
        </w:trPr>
        <w:tc>
          <w:tcPr>
            <w:tcW w:type="dxa" w:w="5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w:t>
            </w:r>
          </w:p>
        </w:tc>
        <w:tc>
          <w:tcPr>
            <w:tcW w:type="dxa" w:w="38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Sentença (03/05/1991) e acórdão dos Embargos à Execução 0015252-76.2006</w:t>
            </w:r>
            <w:r>
              <w:rPr>
                <w:rFonts w:ascii="Times New Roman" w:cs="Times New Roman" w:eastAsia="Times New Roman" w:hAnsi="Times New Roman"/>
                <w:b w:val="false"/>
                <w:bCs w:val="false"/>
                <w:i w:val="false"/>
                <w:iCs w:val="false"/>
                <w:sz w:val="19"/>
                <w:szCs w:val="19"/>
              </w:rPr>
              <w:t xml:space="preserve"> — cópias autenticadas juntadas pelo Santander em 12/09/2007 (petição fls. 2137/2139 e-SAJ = CP 600/602)</w:t>
            </w:r>
          </w:p>
        </w:tc>
        <w:tc>
          <w:tcPr>
            <w:tcW w:type="dxa" w:w="83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B2, B3, H5</w:t>
            </w:r>
          </w:p>
        </w:tc>
        <w:tc>
          <w:tcPr>
            <w:tcW w:type="dxa" w:w="38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provavelmente </w:t>
            </w:r>
            <w:r>
              <w:rPr>
                <w:rFonts w:ascii="Times New Roman" w:cs="Times New Roman" w:eastAsia="Times New Roman" w:hAnsi="Times New Roman"/>
                <w:b/>
                <w:bCs/>
                <w:i w:val="false"/>
                <w:iCs w:val="false"/>
                <w:sz w:val="19"/>
                <w:szCs w:val="19"/>
              </w:rPr>
              <w:t xml:space="preserve">fls. 2140 a 2160 e-SAJ</w:t>
            </w:r>
            <w:r>
              <w:rPr>
                <w:rFonts w:ascii="Times New Roman" w:cs="Times New Roman" w:eastAsia="Times New Roman" w:hAnsi="Times New Roman"/>
                <w:b w:val="false"/>
                <w:bCs w:val="false"/>
                <w:i w:val="false"/>
                <w:iCs w:val="false"/>
                <w:sz w:val="19"/>
                <w:szCs w:val="19"/>
              </w:rPr>
              <w:t xml:space="preserve"> (CP 604/624), dentro do "3 - 1801 a 2700"</w:t>
            </w:r>
          </w:p>
        </w:tc>
      </w:tr>
      <w:tr>
        <w:trPr>
          <w:cantSplit/>
          <w:tblHeader w:val="false"/>
        </w:trPr>
        <w:tc>
          <w:tcPr>
            <w:tcW w:type="dxa" w:w="5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w:t>
            </w:r>
          </w:p>
        </w:tc>
        <w:tc>
          <w:tcPr>
            <w:tcW w:type="dxa" w:w="38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fls. 32 a 47 e 85 dos autos digitalizados dos Embargos</w:t>
            </w:r>
            <w:r>
              <w:rPr>
                <w:rFonts w:ascii="Times New Roman" w:cs="Times New Roman" w:eastAsia="Times New Roman" w:hAnsi="Times New Roman"/>
                <w:b w:val="false"/>
                <w:bCs w:val="false"/>
                <w:i w:val="false"/>
                <w:iCs w:val="false"/>
                <w:sz w:val="19"/>
                <w:szCs w:val="19"/>
              </w:rPr>
              <w:t xml:space="preserve"> (sentença e trânsito, conforme fls. 1483 e-SAJ)</w:t>
            </w:r>
          </w:p>
        </w:tc>
        <w:tc>
          <w:tcPr>
            <w:tcW w:type="dxa" w:w="83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B2, B3</w:t>
            </w:r>
          </w:p>
        </w:tc>
        <w:tc>
          <w:tcPr>
            <w:tcW w:type="dxa" w:w="38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autos 0015252 digitalizados em 31/01/2024</w:t>
            </w:r>
          </w:p>
        </w:tc>
      </w:tr>
      <w:tr>
        <w:trPr>
          <w:cantSplit/>
          <w:tblHeader w:val="false"/>
        </w:trPr>
        <w:tc>
          <w:tcPr>
            <w:tcW w:type="dxa" w:w="5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w:t>
            </w:r>
          </w:p>
        </w:tc>
        <w:tc>
          <w:tcPr>
            <w:tcW w:type="dxa" w:w="38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w:t>
            </w:r>
            <w:r>
              <w:rPr>
                <w:rFonts w:ascii="Times New Roman" w:cs="Times New Roman" w:eastAsia="Times New Roman" w:hAnsi="Times New Roman"/>
                <w:b/>
                <w:bCs/>
                <w:i w:val="false"/>
                <w:iCs w:val="false"/>
                <w:sz w:val="19"/>
                <w:szCs w:val="19"/>
              </w:rPr>
              <w:t xml:space="preserve">651</w:t>
            </w:r>
            <w:r>
              <w:rPr>
                <w:rFonts w:ascii="Times New Roman" w:cs="Times New Roman" w:eastAsia="Times New Roman" w:hAnsi="Times New Roman"/>
                <w:b w:val="false"/>
                <w:bCs w:val="false"/>
                <w:i w:val="false"/>
                <w:iCs w:val="false"/>
                <w:sz w:val="19"/>
                <w:szCs w:val="19"/>
              </w:rPr>
              <w:t xml:space="preserve"> e-SAJ (planilha R$ 1.140.030,51 de dez/2011) e fls. </w:t>
            </w:r>
            <w:r>
              <w:rPr>
                <w:rFonts w:ascii="Times New Roman" w:cs="Times New Roman" w:eastAsia="Times New Roman" w:hAnsi="Times New Roman"/>
                <w:b/>
                <w:bCs/>
                <w:i w:val="false"/>
                <w:iCs w:val="false"/>
                <w:sz w:val="19"/>
                <w:szCs w:val="19"/>
              </w:rPr>
              <w:t xml:space="preserve">655/673</w:t>
            </w:r>
            <w:r>
              <w:rPr>
                <w:rFonts w:ascii="Times New Roman" w:cs="Times New Roman" w:eastAsia="Times New Roman" w:hAnsi="Times New Roman"/>
                <w:b w:val="false"/>
                <w:bCs w:val="false"/>
                <w:i w:val="false"/>
                <w:iCs w:val="false"/>
                <w:sz w:val="19"/>
                <w:szCs w:val="19"/>
              </w:rPr>
              <w:t xml:space="preserve"> (petição de substituição)</w:t>
            </w:r>
          </w:p>
        </w:tc>
        <w:tc>
          <w:tcPr>
            <w:tcW w:type="dxa" w:w="83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C5, H3</w:t>
            </w:r>
          </w:p>
        </w:tc>
        <w:tc>
          <w:tcPr>
            <w:tcW w:type="dxa" w:w="38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"2 - 901 a 1800"? (fls. 651 está antes de 901: no "1 A 204"? não; falta um arquivo com fls. 205 a 900)</w:t>
            </w:r>
          </w:p>
        </w:tc>
      </w:tr>
      <w:tr>
        <w:trPr>
          <w:cantSplit/>
          <w:tblHeader w:val="false"/>
        </w:trPr>
        <w:tc>
          <w:tcPr>
            <w:tcW w:type="dxa" w:w="5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w:t>
            </w:r>
          </w:p>
        </w:tc>
        <w:tc>
          <w:tcPr>
            <w:tcW w:type="dxa" w:w="38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w:t>
            </w:r>
            <w:r>
              <w:rPr>
                <w:rFonts w:ascii="Times New Roman" w:cs="Times New Roman" w:eastAsia="Times New Roman" w:hAnsi="Times New Roman"/>
                <w:b/>
                <w:bCs/>
                <w:i w:val="false"/>
                <w:iCs w:val="false"/>
                <w:sz w:val="19"/>
                <w:szCs w:val="19"/>
              </w:rPr>
              <w:t xml:space="preserve">771 a 785</w:t>
            </w:r>
            <w:r>
              <w:rPr>
                <w:rFonts w:ascii="Times New Roman" w:cs="Times New Roman" w:eastAsia="Times New Roman" w:hAnsi="Times New Roman"/>
                <w:b w:val="false"/>
                <w:bCs w:val="false"/>
                <w:i w:val="false"/>
                <w:iCs w:val="false"/>
                <w:sz w:val="19"/>
                <w:szCs w:val="19"/>
              </w:rPr>
              <w:t xml:space="preserve"> e-SAJ (o arquivo com esse nome traz outras folhas)</w:t>
            </w:r>
          </w:p>
        </w:tc>
        <w:tc>
          <w:tcPr>
            <w:tcW w:type="dxa" w:w="83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H4</w:t>
            </w:r>
          </w:p>
        </w:tc>
        <w:tc>
          <w:tcPr>
            <w:tcW w:type="dxa" w:w="38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idem</w:t>
            </w:r>
          </w:p>
        </w:tc>
      </w:tr>
      <w:tr>
        <w:trPr>
          <w:cantSplit/>
          <w:tblHeader w:val="false"/>
        </w:trPr>
        <w:tc>
          <w:tcPr>
            <w:tcW w:type="dxa" w:w="5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w:t>
            </w:r>
          </w:p>
        </w:tc>
        <w:tc>
          <w:tcPr>
            <w:tcW w:type="dxa" w:w="38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w:t>
            </w:r>
            <w:r>
              <w:rPr>
                <w:rFonts w:ascii="Times New Roman" w:cs="Times New Roman" w:eastAsia="Times New Roman" w:hAnsi="Times New Roman"/>
                <w:b/>
                <w:bCs/>
                <w:i w:val="false"/>
                <w:iCs w:val="false"/>
                <w:sz w:val="19"/>
                <w:szCs w:val="19"/>
              </w:rPr>
              <w:t xml:space="preserve">1500 a 1505</w:t>
            </w:r>
            <w:r>
              <w:rPr>
                <w:rFonts w:ascii="Times New Roman" w:cs="Times New Roman" w:eastAsia="Times New Roman" w:hAnsi="Times New Roman"/>
                <w:b w:val="false"/>
                <w:bCs w:val="false"/>
                <w:i w:val="false"/>
                <w:iCs w:val="false"/>
                <w:sz w:val="19"/>
                <w:szCs w:val="19"/>
              </w:rPr>
              <w:t xml:space="preserve"> (exceção, imagem) e </w:t>
            </w:r>
            <w:r>
              <w:rPr>
                <w:rFonts w:ascii="Times New Roman" w:cs="Times New Roman" w:eastAsia="Times New Roman" w:hAnsi="Times New Roman"/>
                <w:b/>
                <w:bCs/>
                <w:i w:val="false"/>
                <w:iCs w:val="false"/>
                <w:sz w:val="19"/>
                <w:szCs w:val="19"/>
              </w:rPr>
              <w:t xml:space="preserve">387/394 da Carta Precatória</w:t>
            </w:r>
            <w:r>
              <w:rPr>
                <w:rFonts w:ascii="Times New Roman" w:cs="Times New Roman" w:eastAsia="Times New Roman" w:hAnsi="Times New Roman"/>
                <w:b w:val="false"/>
                <w:bCs w:val="false"/>
                <w:i w:val="false"/>
                <w:iCs w:val="false"/>
                <w:sz w:val="19"/>
                <w:szCs w:val="19"/>
              </w:rPr>
              <w:t xml:space="preserve"> (AREsp não conhecido)</w:t>
            </w:r>
          </w:p>
        </w:tc>
        <w:tc>
          <w:tcPr>
            <w:tcW w:type="dxa" w:w="83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A5, H2</w:t>
            </w:r>
          </w:p>
        </w:tc>
        <w:tc>
          <w:tcPr>
            <w:tcW w:type="dxa" w:w="38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"2 - 901 a 1800"</w:t>
            </w:r>
          </w:p>
        </w:tc>
      </w:tr>
      <w:tr>
        <w:trPr>
          <w:cantSplit/>
          <w:tblHeader w:val="false"/>
        </w:trPr>
        <w:tc>
          <w:tcPr>
            <w:tcW w:type="dxa" w:w="5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w:t>
            </w:r>
          </w:p>
        </w:tc>
        <w:tc>
          <w:tcPr>
            <w:tcW w:type="dxa" w:w="38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Última página do acórdão do </w:t>
            </w:r>
            <w:r>
              <w:rPr>
                <w:rFonts w:ascii="Times New Roman" w:cs="Times New Roman" w:eastAsia="Times New Roman" w:hAnsi="Times New Roman"/>
                <w:b/>
                <w:bCs/>
                <w:i w:val="false"/>
                <w:iCs w:val="false"/>
                <w:sz w:val="19"/>
                <w:szCs w:val="19"/>
              </w:rPr>
              <w:t xml:space="preserve">AI 2353386</w:t>
            </w:r>
            <w:r>
              <w:rPr>
                <w:rFonts w:ascii="Times New Roman" w:cs="Times New Roman" w:eastAsia="Times New Roman" w:hAnsi="Times New Roman"/>
                <w:b w:val="false"/>
                <w:bCs w:val="false"/>
                <w:i w:val="false"/>
                <w:iCs w:val="false"/>
                <w:sz w:val="19"/>
                <w:szCs w:val="19"/>
              </w:rPr>
              <w:t xml:space="preserve"> (fls. 3404 e-SAJ)</w:t>
            </w:r>
          </w:p>
        </w:tc>
        <w:tc>
          <w:tcPr>
            <w:tcW w:type="dxa" w:w="83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E1</w:t>
            </w:r>
          </w:p>
        </w:tc>
        <w:tc>
          <w:tcPr>
            <w:tcW w:type="dxa" w:w="38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"5 - 3341 a 3440" já tem; basta extrair</w:t>
            </w:r>
          </w:p>
        </w:tc>
      </w:tr>
    </w:tbl>
    <w:p>
      <w:pPr>
        <w:spacing w:after="120"/>
      </w:pPr>
    </w:p>
    <w:p>
      <w:pPr>
        <w:spacing w:after="40" w:line="276"/>
        <w:jc w:val="center"/>
      </w:pPr>
      <w:r>
        <w:rPr>
          <w:rFonts w:ascii="Times New Roman" w:cs="Times New Roman" w:eastAsia="Times New Roman" w:hAnsi="Times New Roman"/>
          <w:b/>
          <w:bCs/>
          <w:i w:val="false"/>
          <w:iCs w:val="false"/>
        </w:rPr>
        <w:t xml:space="preserve">Grupo 2 — jurisprudência e normas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54"/>
        <w:gridCol w:w="7161"/>
        <w:gridCol w:w="956"/>
      </w:tblGrid>
      <w:tr>
        <w:trPr>
          <w:cantSplit/>
          <w:tblHeader/>
        </w:trPr>
        <w:tc>
          <w:tcPr>
            <w:tcW w:type="dxa" w:w="95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w:t>
            </w:r>
          </w:p>
        </w:tc>
        <w:tc>
          <w:tcPr>
            <w:tcW w:type="dxa" w:w="716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Documento</w:t>
            </w:r>
          </w:p>
        </w:tc>
        <w:tc>
          <w:tcPr>
            <w:tcW w:type="dxa" w:w="95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Bloco</w:t>
            </w:r>
          </w:p>
        </w:tc>
      </w:tr>
      <w:tr>
        <w:trPr>
          <w:cantSplit/>
          <w:tblHeader w:val="false"/>
        </w:trPr>
        <w:tc>
          <w:tcPr>
            <w:tcW w:type="dxa" w:w="9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11</w:t>
            </w:r>
          </w:p>
        </w:tc>
        <w:tc>
          <w:tcPr>
            <w:tcW w:type="dxa" w:w="71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AgInt no REsp </w:t>
            </w:r>
            <w:r>
              <w:rPr>
                <w:rFonts w:ascii="Times New Roman" w:cs="Times New Roman" w:eastAsia="Times New Roman" w:hAnsi="Times New Roman"/>
                <w:b/>
                <w:bCs/>
                <w:i w:val="false"/>
                <w:iCs w:val="false"/>
                <w:sz w:val="19"/>
                <w:szCs w:val="19"/>
              </w:rPr>
              <w:t xml:space="preserve">1.455.741/DF</w:t>
            </w:r>
            <w:r>
              <w:rPr>
                <w:rFonts w:ascii="Times New Roman" w:cs="Times New Roman" w:eastAsia="Times New Roman" w:hAnsi="Times New Roman"/>
                <w:b w:val="false"/>
                <w:bCs w:val="false"/>
                <w:i w:val="false"/>
                <w:iCs w:val="false"/>
                <w:sz w:val="19"/>
                <w:szCs w:val="19"/>
              </w:rPr>
              <w:t xml:space="preserve"> (inteiro teor; a ementa está transcrita no AgInt no AREsp 1.539.138)</w:t>
            </w:r>
          </w:p>
        </w:tc>
        <w:tc>
          <w:tcPr>
            <w:tcW w:type="dxa" w:w="95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A6</w:t>
            </w:r>
          </w:p>
        </w:tc>
      </w:tr>
      <w:tr>
        <w:trPr>
          <w:cantSplit/>
          <w:tblHeader w:val="false"/>
        </w:trPr>
        <w:tc>
          <w:tcPr>
            <w:tcW w:type="dxa" w:w="9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12</w:t>
            </w:r>
          </w:p>
        </w:tc>
        <w:tc>
          <w:tcPr>
            <w:tcW w:type="dxa" w:w="71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AgInt no AREsp </w:t>
            </w:r>
            <w:r>
              <w:rPr>
                <w:rFonts w:ascii="Times New Roman" w:cs="Times New Roman" w:eastAsia="Times New Roman" w:hAnsi="Times New Roman"/>
                <w:b/>
                <w:bCs/>
                <w:i w:val="false"/>
                <w:iCs w:val="false"/>
                <w:sz w:val="19"/>
                <w:szCs w:val="19"/>
              </w:rPr>
              <w:t xml:space="preserve">1.851.737/DF</w:t>
            </w:r>
          </w:p>
        </w:tc>
        <w:tc>
          <w:tcPr>
            <w:tcW w:type="dxa" w:w="95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F1</w:t>
            </w:r>
          </w:p>
        </w:tc>
      </w:tr>
      <w:tr>
        <w:trPr>
          <w:cantSplit/>
          <w:tblHeader w:val="false"/>
        </w:trPr>
        <w:tc>
          <w:tcPr>
            <w:tcW w:type="dxa" w:w="9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w:t>
            </w:r>
          </w:p>
        </w:tc>
        <w:tc>
          <w:tcPr>
            <w:tcW w:type="dxa" w:w="71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w:t>
            </w:r>
            <w:r>
              <w:rPr>
                <w:rFonts w:ascii="Times New Roman" w:cs="Times New Roman" w:eastAsia="Times New Roman" w:hAnsi="Times New Roman"/>
                <w:b/>
                <w:bCs/>
                <w:i w:val="false"/>
                <w:iCs w:val="false"/>
                <w:sz w:val="19"/>
                <w:szCs w:val="19"/>
              </w:rPr>
              <w:t xml:space="preserve">2181564-67.2026.8.26.0000</w:t>
            </w:r>
            <w:r>
              <w:rPr>
                <w:rFonts w:ascii="Times New Roman" w:cs="Times New Roman" w:eastAsia="Times New Roman" w:hAnsi="Times New Roman"/>
                <w:b w:val="false"/>
                <w:bCs w:val="false"/>
                <w:i w:val="false"/>
                <w:iCs w:val="false"/>
                <w:sz w:val="19"/>
                <w:szCs w:val="19"/>
              </w:rPr>
              <w:t xml:space="preserve"> e AI </w:t>
            </w:r>
            <w:r>
              <w:rPr>
                <w:rFonts w:ascii="Times New Roman" w:cs="Times New Roman" w:eastAsia="Times New Roman" w:hAnsi="Times New Roman"/>
                <w:b/>
                <w:bCs/>
                <w:i w:val="false"/>
                <w:iCs w:val="false"/>
                <w:sz w:val="19"/>
                <w:szCs w:val="19"/>
              </w:rPr>
              <w:t xml:space="preserve">2297076-69.2024.8.26.0000</w:t>
            </w:r>
          </w:p>
        </w:tc>
        <w:tc>
          <w:tcPr>
            <w:tcW w:type="dxa" w:w="95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F1</w:t>
            </w:r>
          </w:p>
        </w:tc>
      </w:tr>
      <w:tr>
        <w:trPr>
          <w:cantSplit/>
          <w:tblHeader w:val="false"/>
        </w:trPr>
        <w:tc>
          <w:tcPr>
            <w:tcW w:type="dxa" w:w="9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14</w:t>
            </w:r>
          </w:p>
        </w:tc>
        <w:tc>
          <w:tcPr>
            <w:tcW w:type="dxa" w:w="71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Resolução TJSP </w:t>
            </w:r>
            <w:r>
              <w:rPr>
                <w:rFonts w:ascii="Times New Roman" w:cs="Times New Roman" w:eastAsia="Times New Roman" w:hAnsi="Times New Roman"/>
                <w:b/>
                <w:bCs/>
                <w:i w:val="false"/>
                <w:iCs w:val="false"/>
                <w:sz w:val="19"/>
                <w:szCs w:val="19"/>
              </w:rPr>
              <w:t xml:space="preserve">549/2011</w:t>
            </w:r>
            <w:r>
              <w:rPr>
                <w:rFonts w:ascii="Times New Roman" w:cs="Times New Roman" w:eastAsia="Times New Roman" w:hAnsi="Times New Roman"/>
                <w:b w:val="false"/>
                <w:bCs w:val="false"/>
                <w:i w:val="false"/>
                <w:iCs w:val="false"/>
                <w:sz w:val="19"/>
                <w:szCs w:val="19"/>
              </w:rPr>
              <w:t xml:space="preserve"> (texto consolidado com as Resoluções 772/2017 e 903/2023) e RITJSP (memoriais, "pela ordem") — o art. 1º já está transcrito no EDcl Ap. 0019853-52.2024</w:t>
            </w:r>
          </w:p>
        </w:tc>
        <w:tc>
          <w:tcPr>
            <w:tcW w:type="dxa" w:w="95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G1</w:t>
            </w:r>
          </w:p>
        </w:tc>
      </w:tr>
    </w:tbl>
    <w:p>
      <w:pPr>
        <w:spacing w:after="120"/>
      </w:pPr>
    </w:p>
    <w:p>
      <w:pPr>
        <w:spacing w:after="120" w:line="360"/>
        <w:jc w:val="both"/>
      </w:pPr>
      <w:r>
        <w:rPr>
          <w:rFonts w:ascii="Times New Roman" w:cs="Times New Roman" w:eastAsia="Times New Roman" w:hAnsi="Times New Roman"/>
          <w:b w:val="false"/>
          <w:bCs w:val="false"/>
          <w:i w:val="false"/>
          <w:iCs w:val="false"/>
        </w:rPr>
        <w:t xml:space="preserve">Continuam faltando a contraminuta, a sentença/acórdão dos embargos, fls. 3404, as folhas 651/673, 771/785, 1500/1505 e 1924/1931, os julgados 1.455.741, 1.851.737, AI 2181564-67.2026 e AI 2297076-69.2024, e o texto oficial da Resolução 549/2011. Entrego a v2 com 🟨 onde a fonte ainda falta.</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BLOCO A — PRECLUSÃO DA CONTA HOMOLOGADA EM 1995</w:t>
      </w:r>
    </w:p>
    <w:p>
      <w:pPr>
        <w:pStyle w:val="Heading2"/>
        <w:keepNext/>
      </w:pPr>
      <w:r>
        <w:rPr>
          <w:rFonts w:ascii="Times New Roman" w:cs="Times New Roman" w:eastAsia="Times New Roman" w:hAnsi="Times New Roman"/>
        </w:rPr>
        <w:t xml:space="preserve">A1. O que fls. 203 homologou; reconciliação dos valores</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Conferido por imagem.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015"/>
        <w:gridCol w:w="4061"/>
        <w:gridCol w:w="3995"/>
      </w:tblGrid>
      <w:tr>
        <w:trPr>
          <w:cantSplit/>
          <w:tblHeader/>
        </w:trPr>
        <w:tc>
          <w:tcPr>
            <w:tcW w:type="dxa" w:w="101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Valor</w:t>
            </w:r>
          </w:p>
        </w:tc>
        <w:tc>
          <w:tcPr>
            <w:tcW w:type="dxa" w:w="406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O que é</w:t>
            </w:r>
          </w:p>
        </w:tc>
        <w:tc>
          <w:tcPr>
            <w:tcW w:type="dxa" w:w="399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Fonte (e-SAJ / física)</w:t>
            </w:r>
          </w:p>
        </w:tc>
      </w:tr>
      <w:tr>
        <w:trPr>
          <w:cantSplit/>
          <w:tblHeader w:val="false"/>
        </w:trPr>
        <w:tc>
          <w:tcPr>
            <w:tcW w:type="dxa" w:w="10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R$ 161.057,71</w:t>
            </w:r>
          </w:p>
        </w:tc>
        <w:tc>
          <w:tcPr>
            <w:tcW w:type="dxa" w:w="40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1ª conta da Contadoria, 06/02/1995: "PRINCIPAL ATUALIZADO R$ 26.245,89; TAXA EFETIVA R$ 33.987,58; JUROS 1% ao mês desde 5/87 = 93% R$ 60.233,47; SOMA R$ 120.466,94; MULTA 10% R$ 12.046,69; </w:t>
            </w:r>
            <w:r>
              <w:rPr>
                <w:rFonts w:ascii="Times New Roman" w:cs="Times New Roman" w:eastAsia="Times New Roman" w:hAnsi="Times New Roman"/>
                <w:b/>
                <w:bCs/>
                <w:i w:val="false"/>
                <w:iCs w:val="false"/>
                <w:sz w:val="19"/>
                <w:szCs w:val="19"/>
              </w:rPr>
              <w:t xml:space="preserve">HONORÁRIOS 20%</w:t>
            </w:r>
            <w:r>
              <w:rPr>
                <w:rFonts w:ascii="Times New Roman" w:cs="Times New Roman" w:eastAsia="Times New Roman" w:hAnsi="Times New Roman"/>
                <w:b w:val="false"/>
                <w:bCs w:val="false"/>
                <w:i w:val="false"/>
                <w:iCs w:val="false"/>
                <w:sz w:val="19"/>
                <w:szCs w:val="19"/>
              </w:rPr>
              <w:t xml:space="preserve"> R$ 26.502,72; SOMA R$ 159.016,36; despesas R$ 605,75; custas R$ 1.435,60; TOTAL R$ 161.057,71". Juros </w:t>
            </w:r>
            <w:r>
              <w:rPr>
                <w:rFonts w:ascii="Times New Roman" w:cs="Times New Roman" w:eastAsia="Times New Roman" w:hAnsi="Times New Roman"/>
                <w:b/>
                <w:bCs/>
                <w:i w:val="false"/>
                <w:iCs w:val="false"/>
                <w:sz w:val="19"/>
                <w:szCs w:val="19"/>
              </w:rPr>
              <w:t xml:space="preserve">simples</w:t>
            </w:r>
            <w:r>
              <w:rPr>
                <w:rFonts w:ascii="Times New Roman" w:cs="Times New Roman" w:eastAsia="Times New Roman" w:hAnsi="Times New Roman"/>
                <w:b w:val="false"/>
                <w:bCs w:val="false"/>
                <w:i w:val="false"/>
                <w:iCs w:val="false"/>
                <w:sz w:val="19"/>
                <w:szCs w:val="19"/>
              </w:rPr>
              <w:t xml:space="preserve">.</w:t>
            </w:r>
          </w:p>
        </w:tc>
        <w:tc>
          <w:tcPr>
            <w:tcW w:type="dxa" w:w="399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165 e-SAJ / 122 física</w:t>
            </w:r>
          </w:p>
        </w:tc>
      </w:tr>
      <w:tr>
        <w:trPr>
          <w:cantSplit/>
          <w:tblHeader w:val="false"/>
        </w:trPr>
        <w:tc>
          <w:tcPr>
            <w:tcW w:type="dxa" w:w="10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R$ 4.232.859,19</w:t>
            </w:r>
          </w:p>
        </w:tc>
        <w:tc>
          <w:tcPr>
            <w:tcW w:type="dxa" w:w="40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Cálculo do próprio Banespa ("Assessoria Jurídica – Setor de Cálculos e Perícias, 2/3/95"): saldo devedor R$ 3.206.711,51 em 02/03/95, taxa 57,18%, "MULTA 10,00% R$ 320.671,15; HONORÁRIOS 20,00% R$ 705.476,53; TOTAL R$ 4.232.859,19". Nota: o número do prompt ("4.232.889") está errado; o documento diz </w:t>
            </w:r>
            <w:r>
              <w:rPr>
                <w:rFonts w:ascii="Times New Roman" w:cs="Times New Roman" w:eastAsia="Times New Roman" w:hAnsi="Times New Roman"/>
                <w:b/>
                <w:bCs/>
                <w:i w:val="false"/>
                <w:iCs w:val="false"/>
                <w:sz w:val="19"/>
                <w:szCs w:val="19"/>
              </w:rPr>
              <w:t xml:space="preserve">4.232.859,19</w:t>
            </w:r>
            <w:r>
              <w:rPr>
                <w:rFonts w:ascii="Times New Roman" w:cs="Times New Roman" w:eastAsia="Times New Roman" w:hAnsi="Times New Roman"/>
                <w:b w:val="false"/>
                <w:bCs w:val="false"/>
                <w:i w:val="false"/>
                <w:iCs w:val="false"/>
                <w:sz w:val="19"/>
                <w:szCs w:val="19"/>
              </w:rPr>
              <w:t xml:space="preserve">.</w:t>
            </w:r>
          </w:p>
        </w:tc>
        <w:tc>
          <w:tcPr>
            <w:tcW w:type="dxa" w:w="399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177 e-SAJ / 132 física (carimbo lido "132" em rubrica)</w:t>
            </w:r>
          </w:p>
        </w:tc>
      </w:tr>
      <w:tr>
        <w:trPr>
          <w:cantSplit/>
          <w:tblHeader w:val="false"/>
        </w:trPr>
        <w:tc>
          <w:tcPr>
            <w:tcW w:type="dxa" w:w="10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R$ 5.256.733,85</w:t>
            </w:r>
          </w:p>
        </w:tc>
        <w:tc>
          <w:tcPr>
            <w:tcW w:type="dxa" w:w="40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Saldo devedor da conta retificada da Contadoria em 08/95, sem multa e honorários</w:t>
            </w:r>
          </w:p>
        </w:tc>
        <w:tc>
          <w:tcPr>
            <w:tcW w:type="dxa" w:w="399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180 e 183 e-SAJ / 134 e 137 física</w:t>
            </w:r>
          </w:p>
        </w:tc>
      </w:tr>
      <w:tr>
        <w:trPr>
          <w:cantSplit/>
          <w:tblHeader w:val="false"/>
        </w:trPr>
        <w:tc>
          <w:tcPr>
            <w:tcW w:type="dxa" w:w="10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R$ 6.975.016,65</w:t>
            </w:r>
          </w:p>
        </w:tc>
        <w:tc>
          <w:tcPr>
            <w:tcW w:type="dxa" w:w="40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Total da mesma conta: saldo + multa 10% (R$ 525.673,39) + honorários 20% (R$ 1.156.481,45) + despesas R$ 683,51 + custas R$ 35.444,45</w:t>
            </w:r>
          </w:p>
        </w:tc>
        <w:tc>
          <w:tcPr>
            <w:tcW w:type="dxa" w:w="399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180 e-SAJ / 134 física</w:t>
            </w:r>
          </w:p>
        </w:tc>
      </w:tr>
    </w:tbl>
    <w:p>
      <w:pPr>
        <w:spacing w:after="120"/>
      </w:pPr>
    </w:p>
    <w:p>
      <w:pPr>
        <w:spacing w:after="120" w:line="360"/>
        <w:jc w:val="both"/>
      </w:pPr>
      <w:r>
        <w:rPr>
          <w:rFonts w:ascii="Times New Roman" w:cs="Times New Roman" w:eastAsia="Times New Roman" w:hAnsi="Times New Roman"/>
          <w:b w:val="false"/>
          <w:bCs w:val="false"/>
          <w:i w:val="false"/>
          <w:iCs w:val="false"/>
        </w:rPr>
        <w:t xml:space="preserve">A decisão de fls. 203 e-SAJ / 152 física (23/11/1995) diz: "Homologo, para que produza seus jurídicos efeitos, o laudo de fls. 66/118 e a </w:t>
      </w:r>
      <w:r>
        <w:rPr>
          <w:rFonts w:ascii="Times New Roman" w:cs="Times New Roman" w:eastAsia="Times New Roman" w:hAnsi="Times New Roman"/>
          <w:b/>
          <w:bCs/>
          <w:i w:val="false"/>
          <w:iCs w:val="false"/>
        </w:rPr>
        <w:t xml:space="preserve">conta de liquidação de fls. 134/137</w:t>
      </w:r>
      <w:r>
        <w:rPr>
          <w:rFonts w:ascii="Times New Roman" w:cs="Times New Roman" w:eastAsia="Times New Roman" w:hAnsi="Times New Roman"/>
          <w:b w:val="false"/>
          <w:bCs w:val="false"/>
          <w:i w:val="false"/>
          <w:iCs w:val="false"/>
        </w:rPr>
        <w:t xml:space="preserve">, sobre a qual não se manifestou o exequente." Logo, o que foi homologado foi a conta retificada, </w:t>
      </w:r>
      <w:r>
        <w:rPr>
          <w:rFonts w:ascii="Times New Roman" w:cs="Times New Roman" w:eastAsia="Times New Roman" w:hAnsi="Times New Roman"/>
          <w:b/>
          <w:bCs/>
          <w:i w:val="false"/>
          <w:iCs w:val="false"/>
        </w:rPr>
        <w:t xml:space="preserve">integral</w:t>
      </w:r>
      <w:r>
        <w:rPr>
          <w:rFonts w:ascii="Times New Roman" w:cs="Times New Roman" w:eastAsia="Times New Roman" w:hAnsi="Times New Roman"/>
          <w:b w:val="false"/>
          <w:bCs w:val="false"/>
          <w:i w:val="false"/>
          <w:iCs w:val="false"/>
        </w:rPr>
        <w:t xml:space="preserve"> (R$ 6.975.016,65), da qual o saldo devedor de R$ 5.256.733,85 é a base antes de multa e honorários. A certidão de fls. 204 e-SAJ (física: n/d) atesta: "decorreu o prazo legal, sem manifestação das partes, quanto ao r. despacho retro" (29/12/1995).</w:t>
      </w:r>
    </w:p>
    <w:p>
      <w:pPr>
        <w:spacing w:after="120" w:line="360"/>
        <w:jc w:val="both"/>
      </w:pPr>
      <w:r>
        <w:rPr>
          <w:rFonts w:ascii="Times New Roman" w:cs="Times New Roman" w:eastAsia="Times New Roman" w:hAnsi="Times New Roman"/>
          <w:b w:val="false"/>
          <w:bCs w:val="false"/>
          <w:i w:val="false"/>
          <w:iCs w:val="false"/>
        </w:rPr>
        <w:t xml:space="preserve">Sequência documental: 1ª conta (06/02/1995, juros simples) → impugnação </w:t>
      </w:r>
      <w:r>
        <w:rPr>
          <w:rFonts w:ascii="Times New Roman" w:cs="Times New Roman" w:eastAsia="Times New Roman" w:hAnsi="Times New Roman"/>
          <w:b/>
          <w:bCs/>
          <w:i w:val="false"/>
          <w:iCs w:val="false"/>
        </w:rPr>
        <w:t xml:space="preserve">do Banespa</w:t>
      </w:r>
      <w:r>
        <w:rPr>
          <w:rFonts w:ascii="Times New Roman" w:cs="Times New Roman" w:eastAsia="Times New Roman" w:hAnsi="Times New Roman"/>
          <w:b w:val="false"/>
          <w:bCs w:val="false"/>
          <w:i w:val="false"/>
          <w:iCs w:val="false"/>
        </w:rPr>
        <w:t xml:space="preserve"> (fls. 174/175 e-SAJ / 129/130 física, 03/03/199[4/5], pedindo partir de Cz$ 2.340.293,44, juros de 57,18% a.a., mora 1% a.m., multa 10% e capitalização </w:t>
      </w:r>
      <w:r>
        <w:rPr>
          <w:rFonts w:ascii="Times New Roman" w:cs="Times New Roman" w:eastAsia="Times New Roman" w:hAnsi="Times New Roman"/>
          <w:b/>
          <w:bCs/>
          <w:i w:val="false"/>
          <w:iCs w:val="false"/>
        </w:rPr>
        <w:t xml:space="preserve">semestral</w:t>
      </w:r>
      <w:r>
        <w:rPr>
          <w:rFonts w:ascii="Times New Roman" w:cs="Times New Roman" w:eastAsia="Times New Roman" w:hAnsi="Times New Roman"/>
          <w:b w:val="false"/>
          <w:bCs w:val="false"/>
          <w:i w:val="false"/>
          <w:iCs w:val="false"/>
        </w:rPr>
        <w:t xml:space="preserve">) → despacho de remessa ao contador (fls. 178 e-SAJ / carimbo "133", 23/03/1995) → informação do contador (fls. 179 e-SAJ, 05/10/1995: "os mesmos foram calculados da forma simples, motivo pelo qual retifico") → conta retificada (fls. 180/183) → homologação (fls. 203) → certidão (fls. 204).</w:t>
      </w:r>
    </w:p>
    <w:p>
      <w:pPr>
        <w:spacing w:after="120" w:line="360"/>
        <w:jc w:val="both"/>
      </w:pPr>
      <w:r>
        <w:rPr>
          <w:rFonts w:ascii="Times New Roman" w:cs="Times New Roman" w:eastAsia="Times New Roman" w:hAnsi="Times New Roman"/>
          <w:b/>
          <w:bCs/>
          <w:i w:val="false"/>
          <w:iCs w:val="false"/>
        </w:rPr>
        <w:t xml:space="preserve">O que fazer nos memoriais:</w:t>
      </w:r>
      <w:r>
        <w:rPr>
          <w:rFonts w:ascii="Times New Roman" w:cs="Times New Roman" w:eastAsia="Times New Roman" w:hAnsi="Times New Roman"/>
          <w:b w:val="false"/>
          <w:bCs w:val="false"/>
          <w:i w:val="false"/>
          <w:iCs w:val="false"/>
        </w:rPr>
        <w:t xml:space="preserve"> afirmar que a conta homologada é a de fls. 134/137 física (180/183 e-SAJ), no total de R$ 6.975.016,65, cujo saldo devedor de R$ 5.256.733,85 é a única base judicialmente fixada, e que a retificação decorreu de impugnação do exequente Banespa, não do executado, que silenciou. Corrigir o agravo: o Banespa não "impugnou a conta" de forma genérica; pediu </w:t>
      </w:r>
      <w:r>
        <w:rPr>
          <w:rFonts w:ascii="Times New Roman" w:cs="Times New Roman" w:eastAsia="Times New Roman" w:hAnsi="Times New Roman"/>
          <w:b/>
          <w:bCs/>
          <w:i w:val="false"/>
          <w:iCs w:val="false"/>
        </w:rPr>
        <w:t xml:space="preserve">mais</w:t>
      </w:r>
      <w:r>
        <w:rPr>
          <w:rFonts w:ascii="Times New Roman" w:cs="Times New Roman" w:eastAsia="Times New Roman" w:hAnsi="Times New Roman"/>
          <w:b w:val="false"/>
          <w:bCs w:val="false"/>
          <w:i w:val="false"/>
          <w:iCs w:val="false"/>
        </w:rPr>
        <w:t xml:space="preserve"> (capitalização semestral) e recebeu conta com capitalização mensal.</w:t>
      </w:r>
    </w:p>
    <w:p>
      <w:pPr>
        <w:pStyle w:val="Heading2"/>
        <w:keepNext/>
      </w:pPr>
      <w:r>
        <w:rPr>
          <w:rFonts w:ascii="Times New Roman" w:cs="Times New Roman" w:eastAsia="Times New Roman" w:hAnsi="Times New Roman"/>
        </w:rPr>
        <w:t xml:space="preserve">A2. O item 2 de fls. 3064/3066 inovou?</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Sim, e a contradição é literal.</w:t>
      </w:r>
      <w:r>
        <w:rPr>
          <w:rFonts w:ascii="Times New Roman" w:cs="Times New Roman" w:eastAsia="Times New Roman" w:hAnsi="Times New Roman"/>
          <w:b w:val="false"/>
          <w:bCs w:val="false"/>
          <w:i w:val="false"/>
          <w:iCs w:val="false"/>
        </w:rPr>
        <w:t xml:space="preserve"> Fls. 3065 e-SAJ: "Nos presentes embargos, o executado inova matéria não suscitada na exceção de pré-executividade, alegando: • Vício no cálculo de liquidação por inclusão indevida de multa e juros moratórios • Cobrança indevida de honorários sucumbenciais não incluídos na cessão. Tais questões não foram objeto da exceção (…) As alegações ora deduzidas constituem matéria nova, não apreciada porque não foi objeto da exceção, sendo imprópria a via eleita para sua discussão." Fls. 3066: "REJEITO os embargos de declaração (…) 2. Não obstante a rejeição dos embargos declaratórios (…) DETERMINO ao exequente que (…) apresente novo cálculo (…) a) atualização monetária exclusivamente do valor principal desde (…) maio/1987 (…) A metodologia apresentada às fls. 3055 não pode subsistir, porquanto importa em contagem de juros sobre juros (…) configurando capitalização vedada em lei."</w:t>
      </w:r>
    </w:p>
    <w:p>
      <w:pPr>
        <w:spacing w:after="120" w:line="360"/>
        <w:jc w:val="both"/>
      </w:pPr>
      <w:r>
        <w:rPr>
          <w:rFonts w:ascii="Times New Roman" w:cs="Times New Roman" w:eastAsia="Times New Roman" w:hAnsi="Times New Roman"/>
          <w:b w:val="false"/>
          <w:bCs w:val="false"/>
          <w:i w:val="false"/>
          <w:iCs w:val="false"/>
        </w:rPr>
        <w:t xml:space="preserve">O juiz declarou a matéria "nova" e "imprópria a via", rejeitou os embargos e, no mesmo ato, decidiu-a de ofício contra a parte que </w:t>
      </w:r>
      <w:r>
        <w:rPr>
          <w:rFonts w:ascii="Times New Roman" w:cs="Times New Roman" w:eastAsia="Times New Roman" w:hAnsi="Times New Roman"/>
          <w:b/>
          <w:bCs/>
          <w:i w:val="false"/>
          <w:iCs w:val="false"/>
        </w:rPr>
        <w:t xml:space="preserve">vencera</w:t>
      </w:r>
      <w:r>
        <w:rPr>
          <w:rFonts w:ascii="Times New Roman" w:cs="Times New Roman" w:eastAsia="Times New Roman" w:hAnsi="Times New Roman"/>
          <w:b w:val="false"/>
          <w:bCs w:val="false"/>
          <w:i w:val="false"/>
          <w:iCs w:val="false"/>
        </w:rPr>
        <w:t xml:space="preserve"> a exceção. Isso (i) ultrapassa os limites do art. 1.022 do CPC (embargos rejeitados não alteram o julgado); (ii) é decisão-surpresa: os exequentes nunca foram ouvidos sobre "anatocismo" da conta de fls. 3055 (arts. 9º e 10 do CPC); (iii) conhece de ofício de encargos de contrato bancário (Súmula 381/STJ, com a ressalva do item A3).</w:t>
      </w:r>
    </w:p>
    <w:p>
      <w:pPr>
        <w:spacing w:after="120" w:line="360"/>
        <w:jc w:val="both"/>
      </w:pPr>
      <w:r>
        <w:rPr>
          <w:rFonts w:ascii="Times New Roman" w:cs="Times New Roman" w:eastAsia="Times New Roman" w:hAnsi="Times New Roman"/>
          <w:b/>
          <w:bCs/>
          <w:i w:val="false"/>
          <w:iCs w:val="false"/>
        </w:rPr>
        <w:t xml:space="preserve">Risco "despacho ordinatório irrecorrível":</w:t>
      </w:r>
      <w:r>
        <w:rPr>
          <w:rFonts w:ascii="Times New Roman" w:cs="Times New Roman" w:eastAsia="Times New Roman" w:hAnsi="Times New Roman"/>
          <w:b w:val="false"/>
          <w:bCs w:val="false"/>
          <w:i w:val="false"/>
          <w:iCs w:val="false"/>
        </w:rPr>
        <w:t xml:space="preserve"> médio. O item 2 tem conteúdo decisório (fixa metodologia, veda base de cálculo, altera o valor exequendo), portanto é decisão interlocutória agravável (art. 1.015, parágrafo único). Mas o agravo ora julgado </w:t>
      </w:r>
      <w:r>
        <w:rPr>
          <w:rFonts w:ascii="Times New Roman" w:cs="Times New Roman" w:eastAsia="Times New Roman" w:hAnsi="Times New Roman"/>
          <w:b/>
          <w:bCs/>
          <w:i w:val="false"/>
          <w:iCs w:val="false"/>
        </w:rPr>
        <w:t xml:space="preserve">não</w:t>
      </w:r>
      <w:r>
        <w:rPr>
          <w:rFonts w:ascii="Times New Roman" w:cs="Times New Roman" w:eastAsia="Times New Roman" w:hAnsi="Times New Roman"/>
          <w:b w:val="false"/>
          <w:bCs w:val="false"/>
          <w:i w:val="false"/>
          <w:iCs w:val="false"/>
        </w:rPr>
        <w:t xml:space="preserve"> é contra fls. 3066: é contra fls. 3435/3437. Neutralização: (a) sustentar que fls. 3435/3437 tem fundamentos próprios (não conhecimento da petição de 25/03/2026; qualificação de fls. 3077 como "anuência expressa"; premissa fática de "capitalização" na planilha de fls. 3419) e que é decisão nova, não reiterativa; (b) sustentar que o item 2 de fls. 3066, por ter sido proferido em embargos rejeitados sobre matéria que o próprio juiz declarou "nova", é decisão sem contraditório, cuja invalidade (art. 10) pode ser suscitada no primeiro agravo cabível contra ato que a aplica; (c) admitir com franqueza que os exequentes não agravaram de fls. 3066 e explicar por quê: a decisão de 17/07/2025 (fls. 3082/3084) restituiu prazo apenas aos </w:t>
      </w:r>
      <w:r>
        <w:rPr>
          <w:rFonts w:ascii="Times New Roman" w:cs="Times New Roman" w:eastAsia="Times New Roman" w:hAnsi="Times New Roman"/>
          <w:b/>
          <w:bCs/>
          <w:i w:val="false"/>
          <w:iCs w:val="false"/>
        </w:rPr>
        <w:t xml:space="preserve">executados</w:t>
      </w:r>
      <w:r>
        <w:rPr>
          <w:rFonts w:ascii="Times New Roman" w:cs="Times New Roman" w:eastAsia="Times New Roman" w:hAnsi="Times New Roman"/>
          <w:b w:val="false"/>
          <w:bCs w:val="false"/>
          <w:i w:val="false"/>
          <w:iCs w:val="false"/>
        </w:rPr>
        <w:t xml:space="preserve"> e "DETERMINOU o cumprimento do item 2", o que mostra que o juízo tratou o item 2 como comando executório, não como decisão de mérito sobre a base.</w:t>
      </w:r>
    </w:p>
    <w:p>
      <w:pPr>
        <w:spacing w:after="120" w:line="360"/>
        <w:jc w:val="both"/>
      </w:pPr>
      <w:r>
        <w:rPr>
          <w:rFonts w:ascii="Times New Roman" w:cs="Times New Roman" w:eastAsia="Times New Roman" w:hAnsi="Times New Roman"/>
          <w:b/>
          <w:bCs/>
          <w:i w:val="false"/>
          <w:iCs w:val="false"/>
        </w:rPr>
        <w:t xml:space="preserve">O que fazer nos memoriais:</w:t>
      </w:r>
      <w:r>
        <w:rPr>
          <w:rFonts w:ascii="Times New Roman" w:cs="Times New Roman" w:eastAsia="Times New Roman" w:hAnsi="Times New Roman"/>
          <w:b w:val="false"/>
          <w:bCs w:val="false"/>
          <w:i w:val="false"/>
          <w:iCs w:val="false"/>
        </w:rPr>
        <w:t xml:space="preserve"> transcrever lado a lado os dois trechos de fls. 3065 e 3066; pedir que a Câmara declare que a metodologia de 1987 nasceu de ato sem contraditório e fora do objeto do incidente; deixar claro que o agravo ataca fls. 3435/3437 e apenas invoca a invalidade de fls. 3066 como causa de pedir.</w:t>
      </w:r>
    </w:p>
    <w:p>
      <w:pPr>
        <w:pStyle w:val="Heading2"/>
        <w:keepNext/>
      </w:pPr>
      <w:r>
        <w:rPr>
          <w:rFonts w:ascii="Times New Roman" w:cs="Times New Roman" w:eastAsia="Times New Roman" w:hAnsi="Times New Roman"/>
        </w:rPr>
        <w:t xml:space="preserve">A3. Natureza da conta de 1995 e adequação dos artigos</w:t>
      </w:r>
    </w:p>
    <w:p>
      <w:pPr>
        <w:spacing w:after="120" w:line="360"/>
        <w:jc w:val="both"/>
      </w:pPr>
      <w:r>
        <w:rPr>
          <w:rFonts w:ascii="Times New Roman" w:cs="Times New Roman" w:eastAsia="Times New Roman" w:hAnsi="Times New Roman"/>
          <w:b w:val="false"/>
          <w:bCs w:val="false"/>
          <w:i w:val="false"/>
          <w:iCs w:val="false"/>
        </w:rPr>
        <w:t xml:space="preserve">🟨 A conta de 1995 é conta de </w:t>
      </w:r>
      <w:r>
        <w:rPr>
          <w:rFonts w:ascii="Times New Roman" w:cs="Times New Roman" w:eastAsia="Times New Roman" w:hAnsi="Times New Roman"/>
          <w:b/>
          <w:bCs/>
          <w:i w:val="false"/>
          <w:iCs w:val="false"/>
        </w:rPr>
        <w:t xml:space="preserve">atualização/liquidação em execução de título extrajudicial</w:t>
      </w:r>
      <w:r>
        <w:rPr>
          <w:rFonts w:ascii="Times New Roman" w:cs="Times New Roman" w:eastAsia="Times New Roman" w:hAnsi="Times New Roman"/>
          <w:b w:val="false"/>
          <w:bCs w:val="false"/>
          <w:i w:val="false"/>
          <w:iCs w:val="false"/>
        </w:rPr>
        <w:t xml:space="preserve"> (CPC/73, art. 604 na redação da Lei 8.898/94), homologada por decisão interlocutória. Não há coisa julgada material. O EDcl no REsp 1.229.406/SP (1ª T., Rel. Min. Benedito Gonçalves, j. 16/02/2012, DJe 07/03/2012) trata de </w:t>
      </w:r>
      <w:r>
        <w:rPr>
          <w:rFonts w:ascii="Times New Roman" w:cs="Times New Roman" w:eastAsia="Times New Roman" w:hAnsi="Times New Roman"/>
          <w:b/>
          <w:bCs/>
          <w:i w:val="false"/>
          <w:iCs w:val="false"/>
        </w:rPr>
        <w:t xml:space="preserve">título judicial</w:t>
      </w:r>
      <w:r>
        <w:rPr>
          <w:rFonts w:ascii="Times New Roman" w:cs="Times New Roman" w:eastAsia="Times New Roman" w:hAnsi="Times New Roman"/>
          <w:b w:val="false"/>
          <w:bCs w:val="false"/>
          <w:i w:val="false"/>
          <w:iCs w:val="false"/>
        </w:rPr>
        <w:t xml:space="preserve"> (desapropriação indireta), conta homologada por sentença transitada e rescisória frustrada. Ainda assim, a ementa fala em "eficácia preclusiva da decisão de homologação" e os precedentes transcritos (EREsp 232.140/CE; EREsp 98.528/DF; EREsp 163.650/RS, Corte Especial) tratam de "sentença homologatória a salvo de recurso", ou seja, preclusão. Serve por analogia forte, com a ressalva expressa.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92"/>
        <w:gridCol w:w="797"/>
        <w:gridCol w:w="5982"/>
      </w:tblGrid>
      <w:tr>
        <w:trPr>
          <w:cantSplit/>
          <w:tblHeader/>
        </w:trPr>
        <w:tc>
          <w:tcPr>
            <w:tcW w:type="dxa" w:w="229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Artigo citado no agravo</w:t>
            </w:r>
          </w:p>
        </w:tc>
        <w:tc>
          <w:tcPr>
            <w:tcW w:type="dxa" w:w="79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Sinal</w:t>
            </w:r>
          </w:p>
        </w:tc>
        <w:tc>
          <w:tcPr>
            <w:tcW w:type="dxa" w:w="598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Comentário</w:t>
            </w:r>
          </w:p>
        </w:tc>
      </w:tr>
      <w:tr>
        <w:trPr>
          <w:cantSplit/>
          <w:tblHeader w:val="false"/>
        </w:trPr>
        <w:tc>
          <w:tcPr>
            <w:tcW w:type="dxa" w:w="229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505 CPC</w:t>
            </w:r>
          </w:p>
        </w:tc>
        <w:tc>
          <w:tcPr>
            <w:tcW w:type="dxa" w:w="79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59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Correto: preclusão </w:t>
            </w:r>
            <w:r>
              <w:rPr>
                <w:rFonts w:ascii="Times New Roman" w:cs="Times New Roman" w:eastAsia="Times New Roman" w:hAnsi="Times New Roman"/>
                <w:b w:val="false"/>
                <w:bCs w:val="false"/>
                <w:i/>
                <w:iCs/>
                <w:sz w:val="19"/>
                <w:szCs w:val="19"/>
              </w:rPr>
              <w:t xml:space="preserve">pro judicato</w:t>
            </w:r>
            <w:r>
              <w:rPr>
                <w:rFonts w:ascii="Times New Roman" w:cs="Times New Roman" w:eastAsia="Times New Roman" w:hAnsi="Times New Roman"/>
                <w:b w:val="false"/>
                <w:bCs w:val="false"/>
                <w:i w:val="false"/>
                <w:iCs w:val="false"/>
                <w:sz w:val="19"/>
                <w:szCs w:val="19"/>
              </w:rPr>
              <w:t xml:space="preserve">; equivale ao art. 471 CPC/73, vigente em 1995</w:t>
            </w:r>
          </w:p>
        </w:tc>
      </w:tr>
      <w:tr>
        <w:trPr>
          <w:cantSplit/>
          <w:tblHeader w:val="false"/>
        </w:trPr>
        <w:tc>
          <w:tcPr>
            <w:tcW w:type="dxa" w:w="229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507 CPC</w:t>
            </w:r>
          </w:p>
        </w:tc>
        <w:tc>
          <w:tcPr>
            <w:tcW w:type="dxa" w:w="79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59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Correto: preclusão para as partes; equivale ao art. 473 CPC/73</w:t>
            </w:r>
          </w:p>
        </w:tc>
      </w:tr>
      <w:tr>
        <w:trPr>
          <w:cantSplit/>
          <w:tblHeader w:val="false"/>
        </w:trPr>
        <w:tc>
          <w:tcPr>
            <w:tcW w:type="dxa" w:w="229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508 CPC</w:t>
            </w:r>
          </w:p>
        </w:tc>
        <w:tc>
          <w:tcPr>
            <w:tcW w:type="dxa" w:w="79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59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Trata da coisa julgada de sentença de mérito. Não se aplica a interlocutória em execução extrajudicial. Retirar</w:t>
            </w:r>
          </w:p>
        </w:tc>
      </w:tr>
      <w:tr>
        <w:trPr>
          <w:cantSplit/>
          <w:tblHeader w:val="false"/>
        </w:trPr>
        <w:tc>
          <w:tcPr>
            <w:tcW w:type="dxa" w:w="229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509, § 4º CPC</w:t>
            </w:r>
          </w:p>
        </w:tc>
        <w:tc>
          <w:tcPr>
            <w:tcW w:type="dxa" w:w="79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59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Rege liquidação de sentença. Usar só como analogia ("</w:t>
            </w:r>
            <w:r>
              <w:rPr>
                <w:rFonts w:ascii="Times New Roman" w:cs="Times New Roman" w:eastAsia="Times New Roman" w:hAnsi="Times New Roman"/>
                <w:b w:val="false"/>
                <w:bCs w:val="false"/>
                <w:i/>
                <w:iCs/>
                <w:sz w:val="19"/>
                <w:szCs w:val="19"/>
              </w:rPr>
              <w:t xml:space="preserve">mutatis mutandis</w:t>
            </w: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29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337, § 5º c/c 508</w:t>
            </w:r>
          </w:p>
        </w:tc>
        <w:tc>
          <w:tcPr>
            <w:tcW w:type="dxa" w:w="79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59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preclusão não está entre as matérias de ofício do art. 337. Retirar</w:t>
            </w:r>
          </w:p>
        </w:tc>
      </w:tr>
      <w:tr>
        <w:trPr>
          <w:cantSplit/>
          <w:tblHeader w:val="false"/>
        </w:trPr>
        <w:tc>
          <w:tcPr>
            <w:tcW w:type="dxa" w:w="229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Súmula 381/STJ</w:t>
            </w:r>
          </w:p>
        </w:tc>
        <w:tc>
          <w:tcPr>
            <w:tcW w:type="dxa" w:w="79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59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Texto: "Nos contratos bancários, é vedado ao julgador conhecer, de ofício, da abusividade das cláusulas." O repetitivo de origem (REsp 1.061.530/RS, 2ª Seção, 22/10/2008) </w:t>
            </w:r>
            <w:r>
              <w:rPr>
                <w:rFonts w:ascii="Times New Roman" w:cs="Times New Roman" w:eastAsia="Times New Roman" w:hAnsi="Times New Roman"/>
                <w:b/>
                <w:bCs/>
                <w:i w:val="false"/>
                <w:iCs w:val="false"/>
                <w:sz w:val="19"/>
                <w:szCs w:val="19"/>
              </w:rPr>
              <w:t xml:space="preserve">excluiu</w:t>
            </w:r>
            <w:r>
              <w:rPr>
                <w:rFonts w:ascii="Times New Roman" w:cs="Times New Roman" w:eastAsia="Times New Roman" w:hAnsi="Times New Roman"/>
                <w:b w:val="false"/>
                <w:bCs w:val="false"/>
                <w:i w:val="false"/>
                <w:iCs w:val="false"/>
                <w:sz w:val="19"/>
                <w:szCs w:val="19"/>
              </w:rPr>
              <w:t xml:space="preserve"> da delimitação as "cédulas de crédito rural, industrial, bancária e comercial". Usar a súmula pelo princípio (vedação de revisão de ofício), com a ressalva</w:t>
            </w:r>
          </w:p>
        </w:tc>
      </w:tr>
      <w:tr>
        <w:trPr>
          <w:cantSplit/>
          <w:tblHeader w:val="false"/>
        </w:trPr>
        <w:tc>
          <w:tcPr>
            <w:tcW w:type="dxa" w:w="229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"Coisa julgada formal"</w:t>
            </w:r>
          </w:p>
        </w:tc>
        <w:tc>
          <w:tcPr>
            <w:tcW w:type="dxa" w:w="79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59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Adequado para a decisão de fls. 203 irrecorrida</w:t>
            </w:r>
          </w:p>
        </w:tc>
      </w:tr>
    </w:tbl>
    <w:p>
      <w:pPr>
        <w:spacing w:after="120"/>
      </w:pPr>
    </w:p>
    <w:p>
      <w:pPr>
        <w:spacing w:after="120" w:line="360"/>
        <w:jc w:val="both"/>
      </w:pPr>
      <w:r>
        <w:rPr>
          <w:rFonts w:ascii="Times New Roman" w:cs="Times New Roman" w:eastAsia="Times New Roman" w:hAnsi="Times New Roman"/>
          <w:b/>
          <w:bCs/>
          <w:i w:val="false"/>
          <w:iCs w:val="false"/>
        </w:rPr>
        <w:t xml:space="preserve">Redação correta sugerida:</w:t>
      </w:r>
      <w:r>
        <w:rPr>
          <w:rFonts w:ascii="Times New Roman" w:cs="Times New Roman" w:eastAsia="Times New Roman" w:hAnsi="Times New Roman"/>
          <w:b w:val="false"/>
          <w:bCs w:val="false"/>
          <w:i w:val="false"/>
          <w:iCs w:val="false"/>
        </w:rPr>
        <w:t xml:space="preserve"> "A decisão de fls. 203 e-SAJ / 152 física, irrecorrida (certidão de fls. 204), fixou a base do débito. Sobre ela incidem a preclusão </w:t>
      </w:r>
      <w:r>
        <w:rPr>
          <w:rFonts w:ascii="Times New Roman" w:cs="Times New Roman" w:eastAsia="Times New Roman" w:hAnsi="Times New Roman"/>
          <w:b w:val="false"/>
          <w:bCs w:val="false"/>
          <w:i/>
          <w:iCs/>
        </w:rPr>
        <w:t xml:space="preserve">pro judicato</w:t>
      </w:r>
      <w:r>
        <w:rPr>
          <w:rFonts w:ascii="Times New Roman" w:cs="Times New Roman" w:eastAsia="Times New Roman" w:hAnsi="Times New Roman"/>
          <w:b w:val="false"/>
          <w:bCs w:val="false"/>
          <w:i w:val="false"/>
          <w:iCs w:val="false"/>
        </w:rPr>
        <w:t xml:space="preserve"> (art. 471 do CPC/73; art. 505 do CPC/2015) e a preclusão para as partes (art. 473 do CPC/73; art. 507 do CPC/2015). A revisão de ofício de encargos de cédula bancária, trinta anos depois, viola ainda o princípio da Súmula 381/STJ e os arts. 9º e 10 do CPC."</w:t>
      </w:r>
    </w:p>
    <w:p>
      <w:pPr>
        <w:pStyle w:val="Heading2"/>
        <w:keepNext/>
      </w:pPr>
      <w:r>
        <w:rPr>
          <w:rFonts w:ascii="Times New Roman" w:cs="Times New Roman" w:eastAsia="Times New Roman" w:hAnsi="Times New Roman"/>
        </w:rPr>
        <w:t xml:space="preserve">A4. "Anatocismo é matéria de ordem pública, sem preclusão"</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A linha que prevalece hoje é a da preclusão, mesmo de matéria de ordem pública</w:t>
      </w:r>
      <w:r>
        <w:rPr>
          <w:rFonts w:ascii="Times New Roman" w:cs="Times New Roman" w:eastAsia="Times New Roman" w:hAnsi="Times New Roman"/>
          <w:b w:val="false"/>
          <w:bCs w:val="false"/>
          <w:i w:val="false"/>
          <w:iCs w:val="false"/>
        </w:rPr>
        <w:t xml:space="preserve">, quando há decisão homologatória expressa não impugnada.</w:t>
      </w:r>
    </w:p>
    <w:p>
      <w:pPr>
        <w:spacing w:after="120" w:line="360"/>
        <w:jc w:val="both"/>
      </w:pPr>
      <w:r>
        <w:rPr>
          <w:rFonts w:ascii="Times New Roman" w:cs="Times New Roman" w:eastAsia="Times New Roman" w:hAnsi="Times New Roman"/>
          <w:b w:val="false"/>
          <w:bCs w:val="false"/>
          <w:i w:val="false"/>
          <w:iCs w:val="false"/>
        </w:rPr>
        <w:t xml:space="preserve">A FAVOR (todos na pasta):</w:t>
      </w:r>
    </w:p>
    <w:p>
      <w:pPr>
        <w:pStyle w:val="ListParagraph"/>
        <w:numPr>
          <w:ilvl w:val="0"/>
          <w:numId w:val="2"/>
        </w:numPr>
        <w:spacing w:after="80" w:line="340"/>
        <w:jc w:val="both"/>
      </w:pPr>
      <w:r>
        <w:rPr>
          <w:rFonts w:ascii="Times New Roman" w:cs="Times New Roman" w:eastAsia="Times New Roman" w:hAnsi="Times New Roman"/>
          <w:b w:val="false"/>
          <w:bCs w:val="false"/>
          <w:i w:val="false"/>
          <w:iCs w:val="false"/>
        </w:rPr>
        <w:t xml:space="preserve">STJ, 1ª T., </w:t>
      </w:r>
      <w:r>
        <w:rPr>
          <w:rFonts w:ascii="Times New Roman" w:cs="Times New Roman" w:eastAsia="Times New Roman" w:hAnsi="Times New Roman"/>
          <w:b/>
          <w:bCs/>
          <w:i w:val="false"/>
          <w:iCs w:val="false"/>
        </w:rPr>
        <w:t xml:space="preserve">EDcl no REsp 1.229.406/SP</w:t>
      </w:r>
      <w:r>
        <w:rPr>
          <w:rFonts w:ascii="Times New Roman" w:cs="Times New Roman" w:eastAsia="Times New Roman" w:hAnsi="Times New Roman"/>
          <w:b w:val="false"/>
          <w:bCs w:val="false"/>
          <w:i w:val="false"/>
          <w:iCs w:val="false"/>
        </w:rPr>
        <w:t xml:space="preserve">, Rel. Min. Benedito Gonçalves, j. 16/02/2012, DJe 07/03/2012 (Radi Macruz x DERSA): "não há como se afastar a eficácia preclusiva da decisão de homologação (…) não sendo mais possível se indagar a respeito da capitalização de juros ou anatocismo, 'independentemente do acerto ou desacerto dos critérios utilizados na formulação da conta'". Confirmado no </w:t>
      </w:r>
      <w:r>
        <w:rPr>
          <w:rFonts w:ascii="Times New Roman" w:cs="Times New Roman" w:eastAsia="Times New Roman" w:hAnsi="Times New Roman"/>
          <w:b/>
          <w:bCs/>
          <w:i w:val="false"/>
          <w:iCs w:val="false"/>
        </w:rPr>
        <w:t xml:space="preserve">EREsp 1.229.406/SP</w:t>
      </w:r>
      <w:r>
        <w:rPr>
          <w:rFonts w:ascii="Times New Roman" w:cs="Times New Roman" w:eastAsia="Times New Roman" w:hAnsi="Times New Roman"/>
          <w:b w:val="false"/>
          <w:bCs w:val="false"/>
          <w:i w:val="false"/>
          <w:iCs w:val="false"/>
        </w:rPr>
        <w:t xml:space="preserve"> (Min. João Otávio de Noronha, decisão de 05/08/2014, DJe 12/08/2014), que </w:t>
      </w:r>
      <w:r>
        <w:rPr>
          <w:rFonts w:ascii="Times New Roman" w:cs="Times New Roman" w:eastAsia="Times New Roman" w:hAnsi="Times New Roman"/>
          <w:b/>
          <w:bCs/>
          <w:i w:val="false"/>
          <w:iCs w:val="false"/>
        </w:rPr>
        <w:t xml:space="preserve">distinguiu o REsp 148.938/RJ</w:t>
      </w:r>
      <w:r>
        <w:rPr>
          <w:rFonts w:ascii="Times New Roman" w:cs="Times New Roman" w:eastAsia="Times New Roman" w:hAnsi="Times New Roman"/>
          <w:b w:val="false"/>
          <w:bCs w:val="false"/>
          <w:i w:val="false"/>
          <w:iCs w:val="false"/>
        </w:rPr>
        <w:t xml:space="preserve">: os paradigmas "versaram acerca da discussão quanto à viabilidade de se alterar a sentença liquidanda em caso de erro material de cálculo", enquanto a conta homologada por decisão transitada é "imutável".</w:t>
      </w:r>
    </w:p>
    <w:p>
      <w:pPr>
        <w:pStyle w:val="ListParagraph"/>
        <w:numPr>
          <w:ilvl w:val="0"/>
          <w:numId w:val="2"/>
        </w:numPr>
        <w:spacing w:after="80" w:line="340"/>
        <w:jc w:val="both"/>
      </w:pPr>
      <w:r>
        <w:rPr>
          <w:rFonts w:ascii="Times New Roman" w:cs="Times New Roman" w:eastAsia="Times New Roman" w:hAnsi="Times New Roman"/>
          <w:b w:val="false"/>
          <w:bCs w:val="false"/>
          <w:i w:val="false"/>
          <w:iCs w:val="false"/>
        </w:rPr>
        <w:t xml:space="preserve">STJ, 4ª T., </w:t>
      </w:r>
      <w:r>
        <w:rPr>
          <w:rFonts w:ascii="Times New Roman" w:cs="Times New Roman" w:eastAsia="Times New Roman" w:hAnsi="Times New Roman"/>
          <w:b/>
          <w:bCs/>
          <w:i w:val="false"/>
          <w:iCs w:val="false"/>
        </w:rPr>
        <w:t xml:space="preserve">AgInt no AREsp 2.019.623/SP</w:t>
      </w:r>
      <w:r>
        <w:rPr>
          <w:rFonts w:ascii="Times New Roman" w:cs="Times New Roman" w:eastAsia="Times New Roman" w:hAnsi="Times New Roman"/>
          <w:b w:val="false"/>
          <w:bCs w:val="false"/>
          <w:i w:val="false"/>
          <w:iCs w:val="false"/>
        </w:rPr>
        <w:t xml:space="preserve">, Rel. Min. Raul Araújo, sessão 13-19/09/2022: "sujeitam-se à preclusão consumativa as questões decididas no processo, inclusive as de ordem pública, que não tenham sido objeto de impugnação recursal no momento próprio".</w:t>
      </w:r>
    </w:p>
    <w:p>
      <w:pPr>
        <w:pStyle w:val="ListParagraph"/>
        <w:numPr>
          <w:ilvl w:val="0"/>
          <w:numId w:val="2"/>
        </w:numPr>
        <w:spacing w:after="80" w:line="340"/>
        <w:jc w:val="both"/>
      </w:pPr>
      <w:r>
        <w:rPr>
          <w:rFonts w:ascii="Times New Roman" w:cs="Times New Roman" w:eastAsia="Times New Roman" w:hAnsi="Times New Roman"/>
          <w:b w:val="false"/>
          <w:bCs w:val="false"/>
          <w:i w:val="false"/>
          <w:iCs w:val="false"/>
        </w:rPr>
        <w:t xml:space="preserve">STJ, 2ª T., </w:t>
      </w:r>
      <w:r>
        <w:rPr>
          <w:rFonts w:ascii="Times New Roman" w:cs="Times New Roman" w:eastAsia="Times New Roman" w:hAnsi="Times New Roman"/>
          <w:b/>
          <w:bCs/>
          <w:i w:val="false"/>
          <w:iCs w:val="false"/>
        </w:rPr>
        <w:t xml:space="preserve">AgInt no REsp 1.476.534/CE</w:t>
      </w:r>
      <w:r>
        <w:rPr>
          <w:rFonts w:ascii="Times New Roman" w:cs="Times New Roman" w:eastAsia="Times New Roman" w:hAnsi="Times New Roman"/>
          <w:b w:val="false"/>
          <w:bCs w:val="false"/>
          <w:i w:val="false"/>
          <w:iCs w:val="false"/>
        </w:rPr>
        <w:t xml:space="preserve">, Rel. Min. Og Fernandes, sessão 10-16/08/2021: "As matérias de ordem pública (…) não se sujeitam à preclusão temporal, porém ficam acobertadas tanto pela preclusão consumativa como pela preclusão lógica."</w:t>
      </w:r>
    </w:p>
    <w:p>
      <w:pPr>
        <w:pStyle w:val="ListParagraph"/>
        <w:numPr>
          <w:ilvl w:val="0"/>
          <w:numId w:val="2"/>
        </w:numPr>
        <w:spacing w:after="80" w:line="340"/>
        <w:jc w:val="both"/>
      </w:pPr>
      <w:r>
        <w:rPr>
          <w:rFonts w:ascii="Times New Roman" w:cs="Times New Roman" w:eastAsia="Times New Roman" w:hAnsi="Times New Roman"/>
          <w:b w:val="false"/>
          <w:bCs w:val="false"/>
          <w:i w:val="false"/>
          <w:iCs w:val="false"/>
        </w:rPr>
        <w:t xml:space="preserve">STJ, 3ª T., </w:t>
      </w:r>
      <w:r>
        <w:rPr>
          <w:rFonts w:ascii="Times New Roman" w:cs="Times New Roman" w:eastAsia="Times New Roman" w:hAnsi="Times New Roman"/>
          <w:b/>
          <w:bCs/>
          <w:i w:val="false"/>
          <w:iCs w:val="false"/>
        </w:rPr>
        <w:t xml:space="preserve">AgInt no REsp 2.127.021/DF</w:t>
      </w:r>
      <w:r>
        <w:rPr>
          <w:rFonts w:ascii="Times New Roman" w:cs="Times New Roman" w:eastAsia="Times New Roman" w:hAnsi="Times New Roman"/>
          <w:b w:val="false"/>
          <w:bCs w:val="false"/>
          <w:i w:val="false"/>
          <w:iCs w:val="false"/>
        </w:rPr>
        <w:t xml:space="preserve">, Rel. Min. Humberto Martins, sessão 13-19/08/2024 (execução de título extrajudicial; TERRACAP): "O erro material, passível de alteração a qualquer tempo, é aquele evidente, derivado de simples cálculo aritmético ou inexatidão material e não aquele decorrente de elementos ou critérios de cálculo"; "A decisão judicial que homologa os cálculos (…) está sujeita à preclusão".</w:t>
      </w:r>
    </w:p>
    <w:p>
      <w:pPr>
        <w:pStyle w:val="ListParagraph"/>
        <w:numPr>
          <w:ilvl w:val="0"/>
          <w:numId w:val="2"/>
        </w:numPr>
        <w:spacing w:after="80" w:line="340"/>
        <w:jc w:val="both"/>
      </w:pPr>
      <w:r>
        <w:rPr>
          <w:rFonts w:ascii="Times New Roman" w:cs="Times New Roman" w:eastAsia="Times New Roman" w:hAnsi="Times New Roman"/>
          <w:b w:val="false"/>
          <w:bCs w:val="false"/>
          <w:i w:val="false"/>
          <w:iCs w:val="false"/>
        </w:rPr>
        <w:t xml:space="preserve">STJ, 4ª T., </w:t>
      </w:r>
      <w:r>
        <w:rPr>
          <w:rFonts w:ascii="Times New Roman" w:cs="Times New Roman" w:eastAsia="Times New Roman" w:hAnsi="Times New Roman"/>
          <w:b/>
          <w:bCs/>
          <w:i w:val="false"/>
          <w:iCs w:val="false"/>
        </w:rPr>
        <w:t xml:space="preserve">AgInt no AREsp 2.500.976/PR</w:t>
      </w:r>
      <w:r>
        <w:rPr>
          <w:rFonts w:ascii="Times New Roman" w:cs="Times New Roman" w:eastAsia="Times New Roman" w:hAnsi="Times New Roman"/>
          <w:b w:val="false"/>
          <w:bCs w:val="false"/>
          <w:i w:val="false"/>
          <w:iCs w:val="false"/>
        </w:rPr>
        <w:t xml:space="preserve">, Rel. Min. João Otávio de Noronha, sessão 03-09/03/2026, DJEN 12/03/2026 (execução de título extrajudicial bancário cedido a securitizadora): "Concordância expressa com a conta homologada acarreta preclusão lógica"; ataque a "critérios de cálculo, não simples inexatidões aritméticas".</w:t>
      </w:r>
    </w:p>
    <w:p>
      <w:pPr>
        <w:pStyle w:val="ListParagraph"/>
        <w:numPr>
          <w:ilvl w:val="0"/>
          <w:numId w:val="2"/>
        </w:numPr>
        <w:spacing w:after="80" w:line="340"/>
        <w:jc w:val="both"/>
      </w:pPr>
      <w:r>
        <w:rPr>
          <w:rFonts w:ascii="Times New Roman" w:cs="Times New Roman" w:eastAsia="Times New Roman" w:hAnsi="Times New Roman"/>
          <w:b w:val="false"/>
          <w:bCs w:val="false"/>
          <w:i w:val="false"/>
          <w:iCs w:val="false"/>
        </w:rPr>
        <w:t xml:space="preserve">STJ, 2ª T., </w:t>
      </w:r>
      <w:r>
        <w:rPr>
          <w:rFonts w:ascii="Times New Roman" w:cs="Times New Roman" w:eastAsia="Times New Roman" w:hAnsi="Times New Roman"/>
          <w:b/>
          <w:bCs/>
          <w:i w:val="false"/>
          <w:iCs w:val="false"/>
        </w:rPr>
        <w:t xml:space="preserve">REsp 1.861.550/DF</w:t>
      </w:r>
      <w:r>
        <w:rPr>
          <w:rFonts w:ascii="Times New Roman" w:cs="Times New Roman" w:eastAsia="Times New Roman" w:hAnsi="Times New Roman"/>
          <w:b w:val="false"/>
          <w:bCs w:val="false"/>
          <w:i w:val="false"/>
          <w:iCs w:val="false"/>
        </w:rPr>
        <w:t xml:space="preserve">, Rel. Min. Og Fernandes, j. 16/06/2020: rejeita recálculo de ofício de encargos "por se tratar de matéria de ordem pública" quando há decisão estabilizada.</w:t>
      </w:r>
    </w:p>
    <w:p>
      <w:pPr>
        <w:pStyle w:val="ListParagraph"/>
        <w:numPr>
          <w:ilvl w:val="0"/>
          <w:numId w:val="2"/>
        </w:numPr>
        <w:spacing w:after="80" w:line="340"/>
        <w:jc w:val="both"/>
      </w:pPr>
      <w:r>
        <w:rPr>
          <w:rFonts w:ascii="Times New Roman" w:cs="Times New Roman" w:eastAsia="Times New Roman" w:hAnsi="Times New Roman"/>
          <w:b w:val="false"/>
          <w:bCs w:val="false"/>
          <w:i w:val="false"/>
          <w:iCs w:val="false"/>
        </w:rPr>
        <w:t xml:space="preserve">TJSP, 19ª CDP, </w:t>
      </w:r>
      <w:r>
        <w:rPr>
          <w:rFonts w:ascii="Times New Roman" w:cs="Times New Roman" w:eastAsia="Times New Roman" w:hAnsi="Times New Roman"/>
          <w:b/>
          <w:bCs/>
          <w:i w:val="false"/>
          <w:iCs w:val="false"/>
        </w:rPr>
        <w:t xml:space="preserve">AI 2250267-55.2023.8.26.0000</w:t>
      </w:r>
      <w:r>
        <w:rPr>
          <w:rFonts w:ascii="Times New Roman" w:cs="Times New Roman" w:eastAsia="Times New Roman" w:hAnsi="Times New Roman"/>
          <w:b w:val="false"/>
          <w:bCs w:val="false"/>
          <w:i w:val="false"/>
          <w:iCs w:val="false"/>
        </w:rPr>
        <w:t xml:space="preserve"> (Barueri), Rel. Des. Cláudia Grieco Tabosa Pessoa, j. 11/12/2023: "FLAGRANTE PRECLUSÃO DA MATÉRIA. Homologação objeto de decisório anterior, do qual não sobreveio recurso".</w:t>
      </w:r>
    </w:p>
    <w:p>
      <w:pPr>
        <w:pStyle w:val="ListParagraph"/>
        <w:numPr>
          <w:ilvl w:val="0"/>
          <w:numId w:val="2"/>
        </w:numPr>
        <w:spacing w:after="80" w:line="340"/>
        <w:jc w:val="both"/>
      </w:pPr>
      <w:r>
        <w:rPr>
          <w:rFonts w:ascii="Times New Roman" w:cs="Times New Roman" w:eastAsia="Times New Roman" w:hAnsi="Times New Roman"/>
          <w:b w:val="false"/>
          <w:bCs w:val="false"/>
          <w:i w:val="false"/>
          <w:iCs w:val="false"/>
        </w:rPr>
        <w:t xml:space="preserve">TJSP, 7ª CDP, </w:t>
      </w:r>
      <w:r>
        <w:rPr>
          <w:rFonts w:ascii="Times New Roman" w:cs="Times New Roman" w:eastAsia="Times New Roman" w:hAnsi="Times New Roman"/>
          <w:b/>
          <w:bCs/>
          <w:i w:val="false"/>
          <w:iCs w:val="false"/>
        </w:rPr>
        <w:t xml:space="preserve">AI 2401202-39.2025.8.26.0000</w:t>
      </w:r>
      <w:r>
        <w:rPr>
          <w:rFonts w:ascii="Times New Roman" w:cs="Times New Roman" w:eastAsia="Times New Roman" w:hAnsi="Times New Roman"/>
          <w:b w:val="false"/>
          <w:bCs w:val="false"/>
          <w:i w:val="false"/>
          <w:iCs w:val="false"/>
        </w:rPr>
        <w:t xml:space="preserve"> (Santo André), Rel. Des. Pastorelo Kfouri, j. 30/04/2026: "A ausência de impugnação aos cálculos na fase de liquidação implica preclusão e legitima sua homologação"; multa de 2% por má-fé ao devedor.</w:t>
      </w:r>
    </w:p>
    <w:p>
      <w:pPr>
        <w:spacing w:after="120" w:line="360"/>
        <w:jc w:val="both"/>
      </w:pPr>
      <w:r>
        <w:rPr>
          <w:rFonts w:ascii="Times New Roman" w:cs="Times New Roman" w:eastAsia="Times New Roman" w:hAnsi="Times New Roman"/>
          <w:b w:val="false"/>
          <w:bCs w:val="false"/>
          <w:i w:val="false"/>
          <w:iCs w:val="false"/>
        </w:rPr>
        <w:t xml:space="preserve">CONTRA (a distinguir):</w:t>
      </w:r>
    </w:p>
    <w:p>
      <w:pPr>
        <w:pStyle w:val="ListParagraph"/>
        <w:numPr>
          <w:ilvl w:val="0"/>
          <w:numId w:val="2"/>
        </w:numPr>
        <w:spacing w:after="80" w:line="340"/>
        <w:jc w:val="both"/>
      </w:pPr>
      <w:r>
        <w:rPr>
          <w:rFonts w:ascii="Times New Roman" w:cs="Times New Roman" w:eastAsia="Times New Roman" w:hAnsi="Times New Roman"/>
          <w:b w:val="false"/>
          <w:bCs w:val="false"/>
          <w:i w:val="false"/>
          <w:iCs w:val="false"/>
        </w:rPr>
        <w:t xml:space="preserve">STJ, 3ª T., </w:t>
      </w:r>
      <w:r>
        <w:rPr>
          <w:rFonts w:ascii="Times New Roman" w:cs="Times New Roman" w:eastAsia="Times New Roman" w:hAnsi="Times New Roman"/>
          <w:b/>
          <w:bCs/>
          <w:i w:val="false"/>
          <w:iCs w:val="false"/>
        </w:rPr>
        <w:t xml:space="preserve">REsp 148.938/RJ</w:t>
      </w:r>
      <w:r>
        <w:rPr>
          <w:rFonts w:ascii="Times New Roman" w:cs="Times New Roman" w:eastAsia="Times New Roman" w:hAnsi="Times New Roman"/>
          <w:b w:val="false"/>
          <w:bCs w:val="false"/>
          <w:i w:val="false"/>
          <w:iCs w:val="false"/>
        </w:rPr>
        <w:t xml:space="preserve">, Rel. Min. Waldemar Zveiter (vencido em parte; voto prevalente do Min. Ari Pargendler), j. 12/09/2000, DJ 12/03/2001: ementa II "Em liquidação, a preclusão de despacho não pode servir de escudo para perpetuar mudanças no decidido pela sentença liquidanda"; III "A prática do anatocismo é vedada". </w:t>
      </w:r>
      <w:r>
        <w:rPr>
          <w:rFonts w:ascii="Times New Roman" w:cs="Times New Roman" w:eastAsia="Times New Roman" w:hAnsi="Times New Roman"/>
          <w:b/>
          <w:bCs/>
          <w:i w:val="false"/>
          <w:iCs w:val="false"/>
        </w:rPr>
        <w:t xml:space="preserve">Distinção:</w:t>
      </w:r>
      <w:r>
        <w:rPr>
          <w:rFonts w:ascii="Times New Roman" w:cs="Times New Roman" w:eastAsia="Times New Roman" w:hAnsi="Times New Roman"/>
          <w:b w:val="false"/>
          <w:bCs w:val="false"/>
          <w:i w:val="false"/>
          <w:iCs w:val="false"/>
        </w:rPr>
        <w:t xml:space="preserve"> (a) lá o ato "precluso" era mero despacho de orientação pericial (Pargendler: "irrecorríveis e, portanto, insuscetíveis de preclusão"), e a sentença de liquidação estava sob recurso; aqui há decisão homologatória expressa, publicada, com certidão de decurso de prazo; (b) o próprio voto ressalva a Súmula 93/STJ ("A capitalização de juros só é permitida em casos excepcionais, como ocorre com a Súmula 93/STJ"), e a cédula industrial é exatamente esse caso; (c) o STJ já fez a distinção no EREsp 1.229.406.</w:t>
      </w:r>
    </w:p>
    <w:p>
      <w:pPr>
        <w:pStyle w:val="ListParagraph"/>
        <w:numPr>
          <w:ilvl w:val="0"/>
          <w:numId w:val="2"/>
        </w:numPr>
        <w:spacing w:after="80" w:line="340"/>
        <w:jc w:val="both"/>
      </w:pPr>
      <w:r>
        <w:rPr>
          <w:rFonts w:ascii="Times New Roman" w:cs="Times New Roman" w:eastAsia="Times New Roman" w:hAnsi="Times New Roman"/>
          <w:b w:val="false"/>
          <w:bCs w:val="false"/>
          <w:i w:val="false"/>
          <w:iCs w:val="false"/>
        </w:rPr>
        <w:t xml:space="preserve">TJSP, 20ª CDP, </w:t>
      </w:r>
      <w:r>
        <w:rPr>
          <w:rFonts w:ascii="Times New Roman" w:cs="Times New Roman" w:eastAsia="Times New Roman" w:hAnsi="Times New Roman"/>
          <w:b/>
          <w:bCs/>
          <w:i w:val="false"/>
          <w:iCs w:val="false"/>
        </w:rPr>
        <w:t xml:space="preserve">AI 2123223-58.2020.8.26.0000</w:t>
      </w:r>
      <w:r>
        <w:rPr>
          <w:rFonts w:ascii="Times New Roman" w:cs="Times New Roman" w:eastAsia="Times New Roman" w:hAnsi="Times New Roman"/>
          <w:b w:val="false"/>
          <w:bCs w:val="false"/>
          <w:i w:val="false"/>
          <w:iCs w:val="false"/>
        </w:rPr>
        <w:t xml:space="preserve">, Rel. Des. Rebello Pinho, j. 24/08/2020: </w:t>
      </w:r>
      <w:r>
        <w:rPr>
          <w:rFonts w:ascii="Times New Roman" w:cs="Times New Roman" w:eastAsia="Times New Roman" w:hAnsi="Times New Roman"/>
          <w:b/>
          <w:bCs/>
          <w:i w:val="false"/>
          <w:iCs w:val="false"/>
        </w:rPr>
        <w:t xml:space="preserve">reformou</w:t>
      </w:r>
      <w:r>
        <w:rPr>
          <w:rFonts w:ascii="Times New Roman" w:cs="Times New Roman" w:eastAsia="Times New Roman" w:hAnsi="Times New Roman"/>
          <w:b w:val="false"/>
          <w:bCs w:val="false"/>
          <w:i w:val="false"/>
          <w:iCs w:val="false"/>
        </w:rPr>
        <w:t xml:space="preserve"> homologação de conta da Contadoria por desconformidade com o título judicial. Distinção: fidelidade ao título; aqui o título (cédula) prevê capitalização e a conta de 1995 lhe é fiel.</w:t>
      </w:r>
    </w:p>
    <w:p>
      <w:pPr>
        <w:pStyle w:val="ListParagraph"/>
        <w:numPr>
          <w:ilvl w:val="0"/>
          <w:numId w:val="2"/>
        </w:numPr>
        <w:spacing w:after="80" w:line="340"/>
        <w:jc w:val="both"/>
      </w:pPr>
      <w:r>
        <w:rPr>
          <w:rFonts w:ascii="Times New Roman" w:cs="Times New Roman" w:eastAsia="Times New Roman" w:hAnsi="Times New Roman"/>
          <w:b w:val="false"/>
          <w:bCs w:val="false"/>
          <w:i w:val="false"/>
          <w:iCs w:val="false"/>
        </w:rPr>
        <w:t xml:space="preserve">Precedente sobre erro material: AgInt no REsp 2.127.021 e AgInt no AREsp 2.500.976 dizem que critério de juros e capitalização </w:t>
      </w:r>
      <w:r>
        <w:rPr>
          <w:rFonts w:ascii="Times New Roman" w:cs="Times New Roman" w:eastAsia="Times New Roman" w:hAnsi="Times New Roman"/>
          <w:b/>
          <w:bCs/>
          <w:i w:val="false"/>
          <w:iCs w:val="false"/>
        </w:rPr>
        <w:t xml:space="preserve">não</w:t>
      </w:r>
      <w:r>
        <w:rPr>
          <w:rFonts w:ascii="Times New Roman" w:cs="Times New Roman" w:eastAsia="Times New Roman" w:hAnsi="Times New Roman"/>
          <w:b w:val="false"/>
          <w:bCs w:val="false"/>
          <w:i w:val="false"/>
          <w:iCs w:val="false"/>
        </w:rPr>
        <w:t xml:space="preserve"> é erro material. Isso responde ao art. 494, I.</w:t>
      </w:r>
    </w:p>
    <w:p>
      <w:pPr>
        <w:spacing w:after="120" w:line="360"/>
        <w:jc w:val="both"/>
      </w:pPr>
      <w:r>
        <w:rPr>
          <w:rFonts w:ascii="Times New Roman" w:cs="Times New Roman" w:eastAsia="Times New Roman" w:hAnsi="Times New Roman"/>
          <w:b w:val="false"/>
          <w:bCs w:val="false"/>
          <w:i w:val="false"/>
          <w:iCs w:val="false"/>
        </w:rPr>
        <w:t xml:space="preserve">Na 13ª CDP: não localizei acórdão específico sobre conta homologada. O que existe é a própria Relatora aplicando "preclusão </w:t>
      </w:r>
      <w:r>
        <w:rPr>
          <w:rFonts w:ascii="Times New Roman" w:cs="Times New Roman" w:eastAsia="Times New Roman" w:hAnsi="Times New Roman"/>
          <w:b w:val="false"/>
          <w:bCs w:val="false"/>
          <w:i/>
          <w:iCs/>
        </w:rPr>
        <w:t xml:space="preserve">pro iudicato</w:t>
      </w:r>
      <w:r>
        <w:rPr>
          <w:rFonts w:ascii="Times New Roman" w:cs="Times New Roman" w:eastAsia="Times New Roman" w:hAnsi="Times New Roman"/>
          <w:b w:val="false"/>
          <w:bCs w:val="false"/>
          <w:i w:val="false"/>
          <w:iCs w:val="false"/>
        </w:rPr>
        <w:t xml:space="preserve">" e "retrocesso indevido" (transcrevendo a decisão de 1º grau e adotando-a) no AI 2353386, quanto à avaliação. Nas 3ª e 4ª Turmas do STJ: linha uniforme de preclusão (2.127.021; 2.500.976; 2.019.623; 1.122.847).</w:t>
      </w:r>
    </w:p>
    <w:p>
      <w:pPr>
        <w:spacing w:after="120" w:line="360"/>
        <w:jc w:val="both"/>
      </w:pPr>
      <w:r>
        <w:rPr>
          <w:rFonts w:ascii="Times New Roman" w:cs="Times New Roman" w:eastAsia="Times New Roman" w:hAnsi="Times New Roman"/>
          <w:b/>
          <w:bCs/>
          <w:i w:val="false"/>
          <w:iCs w:val="false"/>
        </w:rPr>
        <w:t xml:space="preserve">O que fazer nos memoriais:</w:t>
      </w:r>
      <w:r>
        <w:rPr>
          <w:rFonts w:ascii="Times New Roman" w:cs="Times New Roman" w:eastAsia="Times New Roman" w:hAnsi="Times New Roman"/>
          <w:b w:val="false"/>
          <w:bCs w:val="false"/>
          <w:i w:val="false"/>
          <w:iCs w:val="false"/>
        </w:rPr>
        <w:t xml:space="preserve"> antecipar o REsp 148.938/RJ e o art. 494, I, e responder com o EREsp 1.229.406 (distinção feita pelo próprio STJ) e com a dupla "critério ≠ erro material" (2.127.021 e 2.500.976).</w:t>
      </w:r>
    </w:p>
    <w:p>
      <w:pPr>
        <w:pStyle w:val="Heading2"/>
        <w:keepNext/>
      </w:pPr>
      <w:r>
        <w:rPr>
          <w:rFonts w:ascii="Times New Roman" w:cs="Times New Roman" w:eastAsia="Times New Roman" w:hAnsi="Times New Roman"/>
        </w:rPr>
        <w:t xml:space="preserve">A5. Efeito devolutivo do AI 2236642-80.2025</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A favor dos exequentes, com uma reserva.</w:t>
      </w:r>
      <w:r>
        <w:rPr>
          <w:rFonts w:ascii="Times New Roman" w:cs="Times New Roman" w:eastAsia="Times New Roman" w:hAnsi="Times New Roman"/>
          <w:b w:val="false"/>
          <w:bCs w:val="false"/>
          <w:i w:val="false"/>
          <w:iCs w:val="false"/>
        </w:rPr>
        <w:t xml:space="preserve"> O acórdão (13ª CDP, j. 07/10/2025, v.u.) fixou: "a única tese ali deduzida foi o excesso de execução decorrente da suposta inclusão de encargos contratuais (…) sendo os cessionários (…) pessoas físicas"; a inclusão de multa/honorários "constituiu indevida inovação, veiculada apenas por ocasião da oposição de embargos de declaração"; "inviável sua análise originariamente no âmbito do presente recurso, sob pena de indevida supressão de um grau de jurisdição"; "mantida, no mais, a respeitável decisão de primeiro grau".</w:t>
      </w:r>
    </w:p>
    <w:p>
      <w:pPr>
        <w:spacing w:after="120" w:line="360"/>
        <w:jc w:val="both"/>
      </w:pPr>
      <w:r>
        <w:rPr>
          <w:rFonts w:ascii="Times New Roman" w:cs="Times New Roman" w:eastAsia="Times New Roman" w:hAnsi="Times New Roman"/>
          <w:b w:val="false"/>
          <w:bCs w:val="false"/>
          <w:i w:val="false"/>
          <w:iCs w:val="false"/>
        </w:rPr>
        <w:t xml:space="preserve">Consequências: (i) o executado </w:t>
      </w:r>
      <w:r>
        <w:rPr>
          <w:rFonts w:ascii="Times New Roman" w:cs="Times New Roman" w:eastAsia="Times New Roman" w:hAnsi="Times New Roman"/>
          <w:b/>
          <w:bCs/>
          <w:i w:val="false"/>
          <w:iCs w:val="false"/>
        </w:rPr>
        <w:t xml:space="preserve">não</w:t>
      </w:r>
      <w:r>
        <w:rPr>
          <w:rFonts w:ascii="Times New Roman" w:cs="Times New Roman" w:eastAsia="Times New Roman" w:hAnsi="Times New Roman"/>
          <w:b w:val="false"/>
          <w:bCs w:val="false"/>
          <w:i w:val="false"/>
          <w:iCs w:val="false"/>
        </w:rPr>
        <w:t xml:space="preserve"> podia, por embargos de declaração, ampliar a exceção; logo o item 2 de fls. 3066, que acolheu de ofício a tese ampliada (anatocismo da conta de fls. 3055), decidiu além do objeto do incidente; (ii) a Câmara </w:t>
      </w:r>
      <w:r>
        <w:rPr>
          <w:rFonts w:ascii="Times New Roman" w:cs="Times New Roman" w:eastAsia="Times New Roman" w:hAnsi="Times New Roman"/>
          <w:b/>
          <w:bCs/>
          <w:i w:val="false"/>
          <w:iCs w:val="false"/>
        </w:rPr>
        <w:t xml:space="preserve">não</w:t>
      </w:r>
      <w:r>
        <w:rPr>
          <w:rFonts w:ascii="Times New Roman" w:cs="Times New Roman" w:eastAsia="Times New Roman" w:hAnsi="Times New Roman"/>
          <w:b w:val="false"/>
          <w:bCs w:val="false"/>
          <w:i w:val="false"/>
          <w:iCs w:val="false"/>
        </w:rPr>
        <w:t xml:space="preserve"> julgou o mérito de multa e honorários, e "mantida no mais" abrange a decisão de fls. 3038/3044 (que o executado agravou), não gera coisa julgada sobre o item 2 de fls. 3066 em desfavor dos exequentes, que não eram recorrentes. Reserva: o acórdão diz que o AI foi contra fls. 3038/3044 </w:t>
      </w:r>
      <w:r>
        <w:rPr>
          <w:rFonts w:ascii="Times New Roman" w:cs="Times New Roman" w:eastAsia="Times New Roman" w:hAnsi="Times New Roman"/>
          <w:b/>
          <w:bCs/>
          <w:i w:val="false"/>
          <w:iCs w:val="false"/>
        </w:rPr>
        <w:t xml:space="preserve">e</w:t>
      </w:r>
      <w:r>
        <w:rPr>
          <w:rFonts w:ascii="Times New Roman" w:cs="Times New Roman" w:eastAsia="Times New Roman" w:hAnsi="Times New Roman"/>
          <w:b w:val="false"/>
          <w:bCs w:val="false"/>
          <w:i w:val="false"/>
          <w:iCs w:val="false"/>
        </w:rPr>
        <w:t xml:space="preserve"> 3064/3066 (fls. 3117/3119); a Relatora poderá dizer que o item 2 ficou "mantido no mais". Resposta: o item 2 beneficiava o executado; ninguém o impugnou naquele agravo; "mantida no mais" só alcança o que foi devolvido (art. 1.013, § 1º, por analogia).</w:t>
      </w:r>
    </w:p>
    <w:p>
      <w:pPr>
        <w:spacing w:after="120" w:line="360"/>
        <w:jc w:val="both"/>
      </w:pPr>
      <w:r>
        <w:rPr>
          <w:rFonts w:ascii="Times New Roman" w:cs="Times New Roman" w:eastAsia="Times New Roman" w:hAnsi="Times New Roman"/>
          <w:b/>
          <w:bCs/>
          <w:i w:val="false"/>
          <w:iCs w:val="false"/>
        </w:rPr>
        <w:t xml:space="preserve">O que fazer nos memoriais:</w:t>
      </w:r>
      <w:r>
        <w:rPr>
          <w:rFonts w:ascii="Times New Roman" w:cs="Times New Roman" w:eastAsia="Times New Roman" w:hAnsi="Times New Roman"/>
          <w:b w:val="false"/>
          <w:bCs w:val="false"/>
          <w:i w:val="false"/>
          <w:iCs w:val="false"/>
        </w:rPr>
        <w:t xml:space="preserve"> usar o acórdão como prova de que a metodologia de 1987 é matéria que a própria Câmara declarou estranha à exceção; nunca sustentar que "mantida no mais" cobriu o item 2.</w:t>
      </w:r>
    </w:p>
    <w:p>
      <w:pPr>
        <w:pStyle w:val="Heading2"/>
        <w:keepNext/>
      </w:pPr>
      <w:r>
        <w:rPr>
          <w:rFonts w:ascii="Times New Roman" w:cs="Times New Roman" w:eastAsia="Times New Roman" w:hAnsi="Times New Roman"/>
        </w:rPr>
        <w:t xml:space="preserve">A6. Decisões anteriores sobre cálculo (2007-2026) e preclusão contra os exequentes</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Nenhuma decisão anterior a fls. 3064/3066 fixou metodologia ou mandou partir de 1987.</w:t>
      </w:r>
      <w:r>
        <w:rPr>
          <w:rFonts w:ascii="Times New Roman" w:cs="Times New Roman" w:eastAsia="Times New Roman" w:hAnsi="Times New Roman"/>
          <w:b w:val="false"/>
          <w:bCs w:val="false"/>
          <w:i w:val="false"/>
          <w:iCs w:val="false"/>
        </w:rPr>
        <w:t xml:space="preserve"> Com a leitura integral de fls. 55 a 173, a cadeia de 1987 a 1995 ficou completa: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70"/>
        <w:gridCol w:w="1269"/>
        <w:gridCol w:w="1739"/>
        <w:gridCol w:w="2820"/>
        <w:gridCol w:w="2773"/>
      </w:tblGrid>
      <w:tr>
        <w:trPr>
          <w:cantSplit/>
          <w:tblHeader/>
        </w:trPr>
        <w:tc>
          <w:tcPr>
            <w:tcW w:type="dxa" w:w="47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Data</w:t>
            </w:r>
          </w:p>
        </w:tc>
        <w:tc>
          <w:tcPr>
            <w:tcW w:type="dxa" w:w="1269"/>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Fls. e-SAJ / física</w:t>
            </w:r>
          </w:p>
        </w:tc>
        <w:tc>
          <w:tcPr>
            <w:tcW w:type="dxa" w:w="1739"/>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Juízo</w:t>
            </w:r>
          </w:p>
        </w:tc>
        <w:tc>
          <w:tcPr>
            <w:tcW w:type="dxa" w:w="282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Comando</w:t>
            </w:r>
          </w:p>
        </w:tc>
        <w:tc>
          <w:tcPr>
            <w:tcW w:type="dxa" w:w="277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Reação</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14/04/1988</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69 / 36</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escrevente</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"os embargos oposto por Chavantes Agropecuária Ltda-ME e Sergio Bueno Pereira da Cunha, foram apensados ao presente feito"</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18/01/1989</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77 / 42v</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Juiz Cucinelli</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"Aguarde-se a solução a ser dada na consignatória em apenso, suspendendo-se o andamento dos embargos"</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05/09/1989</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85/87 / 50/52</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Juiz Cucinelli (Consignação nº 20/89)</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Chavantes ajuizou consignatória invocando "anistia constitucional"; extinta sem mérito (art. 267, VI, CPC/73): "a consignante ao demandar o banco já estava em mora"; honorários de 15%</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09/03/1990</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89/90 / 53v/54</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Juiz Cucinelli</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"Prossiga-se com os embargos em apenso"</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29/12/1993</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91 / 55</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Juiz Prado Neto</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nomeia a perita Maria Angélica André Carbonieri</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23/06/1994</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164 / 121v</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Juiz Prado Neto</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"Por ora, remetam-se os autos ao Contador para elaboração da conta de liquidação"</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06/02/1995</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165/168 / 122/125</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Contadoria</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1ª conta: R$ 161.057,71 (juros simples; "HONORÁRIOS 20%")</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08/02/1995</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169 / 126</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Juiz Prado Neto</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"Digam sobre o cálculo de fls. 122 a 125" (IMESP 15/02/95)</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só o Banespa impugnou</w:t>
            </w:r>
            <w:r>
              <w:rPr>
                <w:rFonts w:ascii="Times New Roman" w:cs="Times New Roman" w:eastAsia="Times New Roman" w:hAnsi="Times New Roman"/>
                <w:b w:val="false"/>
                <w:bCs w:val="false"/>
                <w:i w:val="false"/>
                <w:iCs w:val="false"/>
                <w:sz w:val="19"/>
                <w:szCs w:val="19"/>
              </w:rPr>
              <w:t xml:space="preserve"> (fls. 174/175); o executado silenciou</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23/03/1995</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178 / "133"</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Juiz Prado Neto</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remessa ao contador para ratificar ou retificar</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05/10/1995</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179/183 / 134/137</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Contadoria</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conta retificada: R$ 6.975.016,65</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23/11/1995</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203 / 152</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Juiz Prado Neto</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homologa</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certidão de 29/12/1995: sem manifestação das partes</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07/12/2011</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CP (extrato fls. 1461/1463)</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Chavantes</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"Providencie a parte exequente (…) o cálculo atualizado do débito"</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planilha 19/12/2011 (fls. 2583 e-SAJ), sem ressalva</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16/05/2012</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788/789 / 659</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Ourinhos (Canezin)</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indefere redução de penhora; nada sobre método</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27/04/2017</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1057 / 913</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Ourinhos (Canezin)</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"não há que se falar em conta de liquidação a ser homologada"</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favorável aos exequentes</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14/03/2024</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1932/1933 (CP 395/396)</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Chavantes (Trancoso)</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"atualização do valor do débito (…) incumbe ao exequente, que ora se determina"</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planilhas 18/03 e 19/04/2024, sem ressalva</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08/05/2025</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3038/3044</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Ourinhos</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"Apresente o exequente cálculo atualizado do débito"</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planilha 14/05/2025, sem ressalva</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29/05/2025</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3064/3066</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Ourinhos</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item 2: metodologia de 1987</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planilha 04/06/2025, </w:t>
            </w:r>
            <w:r>
              <w:rPr>
                <w:rFonts w:ascii="Times New Roman" w:cs="Times New Roman" w:eastAsia="Times New Roman" w:hAnsi="Times New Roman"/>
                <w:b/>
                <w:bCs/>
                <w:i w:val="false"/>
                <w:iCs w:val="false"/>
                <w:sz w:val="19"/>
                <w:szCs w:val="19"/>
              </w:rPr>
              <w:t xml:space="preserve">sem ressalva e sem recurso</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17/07/2025</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3082/3084</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Ourinhos</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"DETERMINO o cumprimento do item 2"</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sem recurso</w:t>
            </w:r>
          </w:p>
        </w:tc>
      </w:tr>
    </w:tbl>
    <w:p>
      <w:pPr>
        <w:spacing w:after="120"/>
      </w:pPr>
    </w:p>
    <w:p>
      <w:pPr>
        <w:spacing w:after="120" w:line="360"/>
        <w:jc w:val="both"/>
      </w:pPr>
      <w:r>
        <w:rPr>
          <w:rFonts w:ascii="Times New Roman" w:cs="Times New Roman" w:eastAsia="Times New Roman" w:hAnsi="Times New Roman"/>
          <w:b/>
          <w:bCs/>
          <w:i w:val="false"/>
          <w:iCs w:val="false"/>
        </w:rPr>
        <w:t xml:space="preserve">AgInt no AREsp 1.539.138/SP</w:t>
      </w:r>
      <w:r>
        <w:rPr>
          <w:rFonts w:ascii="Times New Roman" w:cs="Times New Roman" w:eastAsia="Times New Roman" w:hAnsi="Times New Roman"/>
          <w:b w:val="false"/>
          <w:bCs w:val="false"/>
          <w:i w:val="false"/>
          <w:iCs w:val="false"/>
        </w:rPr>
        <w:t xml:space="preserve"> (🟩 lido): decisão monocrática do Min. Napoleão Nunes Maia Filho, 25/11/2020, em juízo de reconsideração da decisão da Presidência (05/08/2019, DJe 08/08/2019); execução de título </w:t>
      </w:r>
      <w:r>
        <w:rPr>
          <w:rFonts w:ascii="Times New Roman" w:cs="Times New Roman" w:eastAsia="Times New Roman" w:hAnsi="Times New Roman"/>
          <w:b/>
          <w:bCs/>
          <w:i w:val="false"/>
          <w:iCs w:val="false"/>
        </w:rPr>
        <w:t xml:space="preserve">judicial</w:t>
      </w:r>
      <w:r>
        <w:rPr>
          <w:rFonts w:ascii="Times New Roman" w:cs="Times New Roman" w:eastAsia="Times New Roman" w:hAnsi="Times New Roman"/>
          <w:b w:val="false"/>
          <w:bCs w:val="false"/>
          <w:i w:val="false"/>
          <w:iCs w:val="false"/>
        </w:rPr>
        <w:t xml:space="preserve"> contra o Município de Ilhabela; </w:t>
      </w:r>
      <w:r>
        <w:rPr>
          <w:rFonts w:ascii="Times New Roman" w:cs="Times New Roman" w:eastAsia="Times New Roman" w:hAnsi="Times New Roman"/>
          <w:b/>
          <w:bCs/>
          <w:i w:val="false"/>
          <w:iCs w:val="false"/>
        </w:rPr>
        <w:t xml:space="preserve">provido em favor dos credores</w:t>
      </w:r>
      <w:r>
        <w:rPr>
          <w:rFonts w:ascii="Times New Roman" w:cs="Times New Roman" w:eastAsia="Times New Roman" w:hAnsi="Times New Roman"/>
          <w:b w:val="false"/>
          <w:bCs w:val="false"/>
          <w:i w:val="false"/>
          <w:iCs w:val="false"/>
        </w:rPr>
        <w:t xml:space="preserve">: "a decisão homologatória dos cálculos, indicando o valor a ser executado, se sujeita à impugnação por Agravo de Instrumento, sob pena de preclusão"; "nítida ofensa à preclusão temporal". Transcreve o </w:t>
      </w:r>
      <w:r>
        <w:rPr>
          <w:rFonts w:ascii="Times New Roman" w:cs="Times New Roman" w:eastAsia="Times New Roman" w:hAnsi="Times New Roman"/>
          <w:b/>
          <w:bCs/>
          <w:i w:val="false"/>
          <w:iCs w:val="false"/>
        </w:rPr>
        <w:t xml:space="preserve">AgInt no REsp 1.455.741/DF</w:t>
      </w:r>
      <w:r>
        <w:rPr>
          <w:rFonts w:ascii="Times New Roman" w:cs="Times New Roman" w:eastAsia="Times New Roman" w:hAnsi="Times New Roman"/>
          <w:b w:val="false"/>
          <w:bCs w:val="false"/>
          <w:i w:val="false"/>
          <w:iCs w:val="false"/>
        </w:rPr>
        <w:t xml:space="preserve"> (4ª T., Rel. Min. Raul Araújo, DJe 15/06/2020): "A decisão que delimita os cálculos e determina o envio dos autos à contadoria possui natureza jurídica de decisão interlocutória e, por conseguinte, sujeita-se a agravo de instrumento, sob pena de preclusão", e o AgRg no AREsp 278.388/RS (Villas Bôas Cueva, DJe 04/08/2015): "o erro autorizador da modificação do julgado a qualquer tempo é tão somente aquele de natureza gráfica ou aritmética, perceptível à primeira vista, e não o referente à eleição de determinado critério de cálculo".</w:t>
      </w:r>
    </w:p>
    <w:p>
      <w:pPr>
        <w:spacing w:after="120" w:line="360"/>
        <w:jc w:val="both"/>
      </w:pPr>
      <w:r>
        <w:rPr>
          <w:rFonts w:ascii="Times New Roman" w:cs="Times New Roman" w:eastAsia="Times New Roman" w:hAnsi="Times New Roman"/>
          <w:b/>
          <w:bCs/>
          <w:i w:val="false"/>
          <w:iCs w:val="false"/>
        </w:rPr>
        <w:t xml:space="preserve">Corte nos dois sentidos.</w:t>
      </w:r>
      <w:r>
        <w:rPr>
          <w:rFonts w:ascii="Times New Roman" w:cs="Times New Roman" w:eastAsia="Times New Roman" w:hAnsi="Times New Roman"/>
          <w:b w:val="false"/>
          <w:bCs w:val="false"/>
          <w:i w:val="false"/>
          <w:iCs w:val="false"/>
        </w:rPr>
        <w:t xml:space="preserve"> A favor: a decisão de fls. 164 (remessa ao contador), a de fls. 169 (vista da conta) e a homologação de fls. 203 são exatamente "decisões que delimitam os cálculos"; o executado não as agravou; preclusão contra ele desde 1995. Contra: fls. 3066 também "delimitou os cálculos" e os exequentes não a agravaram. Resposta: (a) fls. 3066 não é decisão de delimitação autônoma: é item acessório de decisão que </w:t>
      </w:r>
      <w:r>
        <w:rPr>
          <w:rFonts w:ascii="Times New Roman" w:cs="Times New Roman" w:eastAsia="Times New Roman" w:hAnsi="Times New Roman"/>
          <w:b/>
          <w:bCs/>
          <w:i w:val="false"/>
          <w:iCs w:val="false"/>
        </w:rPr>
        <w:t xml:space="preserve">rejeitou</w:t>
      </w:r>
      <w:r>
        <w:rPr>
          <w:rFonts w:ascii="Times New Roman" w:cs="Times New Roman" w:eastAsia="Times New Roman" w:hAnsi="Times New Roman"/>
          <w:b w:val="false"/>
          <w:bCs w:val="false"/>
          <w:i w:val="false"/>
          <w:iCs w:val="false"/>
        </w:rPr>
        <w:t xml:space="preserve"> embargos de declaração sobre matéria que o próprio juiz declarou estranha ao incidente (A2), e a decisão de 17/07/2025 (fls. 3082/3084) mostra que o juízo a tratou como comando de cumprimento; (b) entre duas "delimitações", prevalece a homologada e certificada em 1995, porque a de 2025 nasceu sem contraditório (arts. 9º e 10); (c) o gravame concreto só se consumou em fls. 3435/3437, quando o juízo qualificou a conduta dos exequentes como "anuência" e recusou conhecer da defesa da base homologada.</w:t>
      </w:r>
    </w:p>
    <w:p>
      <w:pPr>
        <w:spacing w:after="120" w:line="360"/>
        <w:jc w:val="both"/>
      </w:pPr>
      <w:r>
        <w:rPr>
          <w:rFonts w:ascii="Times New Roman" w:cs="Times New Roman" w:eastAsia="Times New Roman" w:hAnsi="Times New Roman"/>
          <w:b/>
          <w:bCs/>
          <w:i w:val="false"/>
          <w:iCs w:val="false"/>
        </w:rPr>
        <w:t xml:space="preserve">O que fazer nos memoriais:</w:t>
      </w:r>
      <w:r>
        <w:rPr>
          <w:rFonts w:ascii="Times New Roman" w:cs="Times New Roman" w:eastAsia="Times New Roman" w:hAnsi="Times New Roman"/>
          <w:b w:val="false"/>
          <w:bCs w:val="false"/>
          <w:i w:val="false"/>
          <w:iCs w:val="false"/>
        </w:rPr>
        <w:t xml:space="preserve"> apresentar a tabela; sustentar que a única decisão que delimitou cálculos com contraditório e homologação é a de 1995; enfrentar de frente o AgInt no REsp 1.455.741/DF, mostrando que ele protege a homologação de 1995 tanto quanto ameaça o silêncio de 2025, e que o desempate se faz pela invalidade de fls. 3066 (A2).</w:t>
      </w:r>
    </w:p>
    <w:p>
      <w:pPr>
        <w:pStyle w:val="Heading1"/>
        <w:keepNext/>
      </w:pPr>
      <w:r>
        <w:rPr>
          <w:rFonts w:ascii="Times New Roman" w:cs="Times New Roman" w:eastAsia="Times New Roman" w:hAnsi="Times New Roman"/>
        </w:rPr>
        <w:t xml:space="preserve">BLOCO B — HONORÁRIOS: 10% OU 20%?</w:t>
      </w:r>
    </w:p>
    <w:p>
      <w:pPr>
        <w:pStyle w:val="Heading2"/>
        <w:keepNext/>
      </w:pPr>
      <w:r>
        <w:rPr>
          <w:rFonts w:ascii="Times New Roman" w:cs="Times New Roman" w:eastAsia="Times New Roman" w:hAnsi="Times New Roman"/>
        </w:rPr>
        <w:t xml:space="preserve">B1. fls. 52 e-SAJ / 23 física</w:t>
      </w:r>
    </w:p>
    <w:p>
      <w:pPr>
        <w:spacing w:after="120" w:line="360"/>
        <w:jc w:val="both"/>
      </w:pPr>
      <w:r>
        <w:rPr>
          <w:rFonts w:ascii="Times New Roman" w:cs="Times New Roman" w:eastAsia="Times New Roman" w:hAnsi="Times New Roman"/>
          <w:b w:val="false"/>
          <w:bCs w:val="false"/>
          <w:i w:val="false"/>
          <w:iCs w:val="false"/>
        </w:rPr>
        <w:t xml:space="preserve">🟨 Ampliação a 800 dpi: o manuscrito é um algarismo com traço vertical grosso e gancho à esquerda, seguido de "0", sobre linha de sublinhado que se funde com a base do traço. </w:t>
      </w:r>
      <w:r>
        <w:rPr>
          <w:rFonts w:ascii="Times New Roman" w:cs="Times New Roman" w:eastAsia="Times New Roman" w:hAnsi="Times New Roman"/>
          <w:b/>
          <w:bCs/>
          <w:i w:val="false"/>
          <w:iCs w:val="false"/>
        </w:rPr>
        <w:t xml:space="preserve">Não é possível afirmar se é "1" ou "2".</w:t>
      </w:r>
      <w:r>
        <w:rPr>
          <w:rFonts w:ascii="Times New Roman" w:cs="Times New Roman" w:eastAsia="Times New Roman" w:hAnsi="Times New Roman"/>
          <w:b w:val="false"/>
          <w:bCs w:val="false"/>
          <w:i w:val="false"/>
          <w:iCs w:val="false"/>
        </w:rPr>
        <w:t xml:space="preserve"> O texto datilografado é legível: "fixo os honorários advocatícios em __ % sobre o </w:t>
      </w:r>
      <w:r>
        <w:rPr>
          <w:rFonts w:ascii="Times New Roman" w:cs="Times New Roman" w:eastAsia="Times New Roman" w:hAnsi="Times New Roman"/>
          <w:b/>
          <w:bCs/>
          <w:i w:val="false"/>
          <w:iCs w:val="false"/>
        </w:rPr>
        <w:t xml:space="preserve">valor dado à causa</w:t>
      </w:r>
      <w:r>
        <w:rPr>
          <w:rFonts w:ascii="Times New Roman" w:cs="Times New Roman" w:eastAsia="Times New Roman" w:hAnsi="Times New Roman"/>
          <w:b w:val="false"/>
          <w:bCs w:val="false"/>
          <w:i w:val="false"/>
          <w:iCs w:val="false"/>
        </w:rPr>
        <w:t xml:space="preserve">". Documentos convergentes de 1987: cédula, cláusula 5, § único (fls. 39 e-SAJ / 12 física): "honorários advocatícios, desde já fixados em </w:t>
      </w:r>
      <w:r>
        <w:rPr>
          <w:rFonts w:ascii="Times New Roman" w:cs="Times New Roman" w:eastAsia="Times New Roman" w:hAnsi="Times New Roman"/>
          <w:b/>
          <w:bCs/>
          <w:i w:val="false"/>
          <w:iCs w:val="false"/>
        </w:rPr>
        <w:t xml:space="preserve">10% no montante do débito</w:t>
      </w:r>
      <w:r>
        <w:rPr>
          <w:rFonts w:ascii="Times New Roman" w:cs="Times New Roman" w:eastAsia="Times New Roman" w:hAnsi="Times New Roman"/>
          <w:b w:val="false"/>
          <w:bCs w:val="false"/>
          <w:i w:val="false"/>
          <w:iCs w:val="false"/>
        </w:rPr>
        <w:t xml:space="preserve">"; inicial (fls. 31 e-SAJ / 06 física): "honorários advocatícios calculados na base de </w:t>
      </w:r>
      <w:r>
        <w:rPr>
          <w:rFonts w:ascii="Times New Roman" w:cs="Times New Roman" w:eastAsia="Times New Roman" w:hAnsi="Times New Roman"/>
          <w:b/>
          <w:bCs/>
          <w:i w:val="false"/>
          <w:iCs w:val="false"/>
        </w:rPr>
        <w:t xml:space="preserve">10% (dez por cento) sobre o montante do débito</w:t>
      </w:r>
      <w:r>
        <w:rPr>
          <w:rFonts w:ascii="Times New Roman" w:cs="Times New Roman" w:eastAsia="Times New Roman" w:hAnsi="Times New Roman"/>
          <w:b w:val="false"/>
          <w:bCs w:val="false"/>
          <w:i w:val="false"/>
          <w:iCs w:val="false"/>
        </w:rPr>
        <w:t xml:space="preserve">, conforme cláusula contratual"; mandado (fls. 54 e-SAJ / 24 física): "arbitrados em </w:t>
      </w:r>
      <w:r>
        <w:rPr>
          <w:rFonts w:ascii="Times New Roman" w:cs="Times New Roman" w:eastAsia="Times New Roman" w:hAnsi="Times New Roman"/>
          <w:b/>
          <w:bCs/>
          <w:i w:val="false"/>
          <w:iCs w:val="false"/>
        </w:rPr>
        <w:t xml:space="preserve">10% (dez por cento) do valor atribuído à causa</w:t>
      </w: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Leitura mais provável: 10%</w:t>
      </w:r>
      <w:r>
        <w:rPr>
          <w:rFonts w:ascii="Times New Roman" w:cs="Times New Roman" w:eastAsia="Times New Roman" w:hAnsi="Times New Roman"/>
          <w:b w:val="false"/>
          <w:bCs w:val="false"/>
          <w:i w:val="false"/>
          <w:iCs w:val="false"/>
        </w:rPr>
        <w:t xml:space="preserve">, sobre o valor da causa (Cz$ 2.340.293,44).</w:t>
      </w:r>
    </w:p>
    <w:p>
      <w:pPr>
        <w:spacing w:after="120" w:line="360"/>
        <w:jc w:val="both"/>
      </w:pPr>
      <w:r>
        <w:rPr>
          <w:rFonts w:ascii="Times New Roman" w:cs="Times New Roman" w:eastAsia="Times New Roman" w:hAnsi="Times New Roman"/>
          <w:b/>
          <w:bCs/>
          <w:i w:val="false"/>
          <w:iCs w:val="false"/>
        </w:rPr>
        <w:t xml:space="preserve">Achado novo da v3 (releitura em 600 dpi, 28/09/2026):</w:t>
      </w:r>
      <w:r>
        <w:rPr>
          <w:rFonts w:ascii="Times New Roman" w:cs="Times New Roman" w:eastAsia="Times New Roman" w:hAnsi="Times New Roman"/>
          <w:b w:val="false"/>
          <w:bCs w:val="false"/>
          <w:i w:val="false"/>
          <w:iCs w:val="false"/>
        </w:rPr>
        <w:t xml:space="preserve"> 🟩 o texto datilografado completo do despacho é: "CITE(M)-SE. </w:t>
      </w:r>
      <w:r>
        <w:rPr>
          <w:rFonts w:ascii="Times New Roman" w:cs="Times New Roman" w:eastAsia="Times New Roman" w:hAnsi="Times New Roman"/>
          <w:b/>
          <w:bCs/>
          <w:i w:val="false"/>
          <w:iCs w:val="false"/>
        </w:rPr>
        <w:t xml:space="preserve">Em caso de pagamento ou de não apresentação de embargos</w:t>
      </w:r>
      <w:r>
        <w:rPr>
          <w:rFonts w:ascii="Times New Roman" w:cs="Times New Roman" w:eastAsia="Times New Roman" w:hAnsi="Times New Roman"/>
          <w:b w:val="false"/>
          <w:bCs w:val="false"/>
          <w:i w:val="false"/>
          <w:iCs w:val="false"/>
        </w:rPr>
        <w:t xml:space="preserve">, fixo os honorários advocatícios em __ % sobre o valor dado à causa. Int. Ours., 03 de novembro de 1987." A fixação de fls. 52 era, portanto, </w:t>
      </w:r>
      <w:r>
        <w:rPr>
          <w:rFonts w:ascii="Times New Roman" w:cs="Times New Roman" w:eastAsia="Times New Roman" w:hAnsi="Times New Roman"/>
          <w:b/>
          <w:bCs/>
          <w:i w:val="false"/>
          <w:iCs w:val="false"/>
        </w:rPr>
        <w:t xml:space="preserve">condicional e provisória</w:t>
      </w:r>
      <w:r>
        <w:rPr>
          <w:rFonts w:ascii="Times New Roman" w:cs="Times New Roman" w:eastAsia="Times New Roman" w:hAnsi="Times New Roman"/>
          <w:b w:val="false"/>
          <w:bCs w:val="false"/>
          <w:i w:val="false"/>
          <w:iCs w:val="false"/>
        </w:rPr>
        <w:t xml:space="preserve">: valia só se o devedor pagasse ou não embargasse. O devedor embargou (Embargos 0015252-76.2006, apensados em 14/04/1988, fls. 69 e-SAJ / 36 física), e os embargos foram julgados em 03/05/1991. Com isso, a condição de fls. 52 não se implementou e a verba passou a ser a da sentença dos embargos. Isso neutraliza o argumento do executado de 20/08/2026 (fls. 3444/3445 e-SAJ: "10% sobre o valor da causa, conforme mandado de intimação de fls. 54"), porque o mandado apenas reproduz a fixação condicional. 🟨 O algarismo continua sem leitura segura ("1" ou "2"), porque a imagem de origem tem só 847 pixels de largura e o traço se funde com o sublinhado.</w:t>
      </w:r>
    </w:p>
    <w:p>
      <w:pPr>
        <w:spacing w:after="120" w:line="360"/>
        <w:jc w:val="both"/>
      </w:pPr>
      <w:r>
        <w:rPr>
          <w:rFonts w:ascii="Times New Roman" w:cs="Times New Roman" w:eastAsia="Times New Roman" w:hAnsi="Times New Roman"/>
          <w:b/>
          <w:bCs/>
          <w:i w:val="false"/>
          <w:iCs w:val="false"/>
        </w:rPr>
        <w:t xml:space="preserve">O que fazer nos memoriais:</w:t>
      </w: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não usar fls. 52 como prova de 20%.</w:t>
      </w:r>
      <w:r>
        <w:rPr>
          <w:rFonts w:ascii="Times New Roman" w:cs="Times New Roman" w:eastAsia="Times New Roman" w:hAnsi="Times New Roman"/>
          <w:b w:val="false"/>
          <w:bCs w:val="false"/>
          <w:i w:val="false"/>
          <w:iCs w:val="false"/>
        </w:rPr>
        <w:t xml:space="preserve"> A afirmação do agravo ("decisão judicial de 03/11/1987 (fls. 52), que expressamente arbitrou os honorários advocatícios em 20%") é 🟥 e deve ser retificada espontaneamente, para evitar o art. 80, II.</w:t>
      </w:r>
    </w:p>
    <w:p>
      <w:pPr>
        <w:pStyle w:val="Heading2"/>
        <w:keepNext/>
      </w:pPr>
      <w:r>
        <w:rPr>
          <w:rFonts w:ascii="Times New Roman" w:cs="Times New Roman" w:eastAsia="Times New Roman" w:hAnsi="Times New Roman"/>
        </w:rPr>
        <w:t xml:space="preserve">B2. Tabela cronológica: honorários, 20%, Embargos</w:t>
      </w:r>
    </w:p>
    <w:p>
      <w:pPr>
        <w:spacing w:after="120" w:line="360"/>
        <w:jc w:val="both"/>
      </w:pPr>
      <w:r>
        <w:rPr>
          <w:rFonts w:ascii="Times New Roman" w:cs="Times New Roman" w:eastAsia="Times New Roman" w:hAnsi="Times New Roman"/>
          <w:b w:val="false"/>
          <w:bCs w:val="false"/>
          <w:i w:val="false"/>
          <w:iCs w:val="false"/>
        </w:rPr>
        <w:t xml:space="preserve">🟩 (com lacunas 🟨 nas folhas não lidas)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62"/>
        <w:gridCol w:w="2516"/>
        <w:gridCol w:w="1920"/>
        <w:gridCol w:w="3973"/>
      </w:tblGrid>
      <w:tr>
        <w:trPr>
          <w:cantSplit/>
          <w:tblHeader/>
        </w:trPr>
        <w:tc>
          <w:tcPr>
            <w:tcW w:type="dxa" w:w="66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Data</w:t>
            </w:r>
          </w:p>
        </w:tc>
        <w:tc>
          <w:tcPr>
            <w:tcW w:type="dxa" w:w="251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Fls. e-SAJ / física</w:t>
            </w:r>
          </w:p>
        </w:tc>
        <w:tc>
          <w:tcPr>
            <w:tcW w:type="dxa" w:w="192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Quem</w:t>
            </w:r>
          </w:p>
        </w:tc>
        <w:tc>
          <w:tcPr>
            <w:tcW w:type="dxa" w:w="397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Texto literal</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06/05/1987</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39 / 12</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Cédula 52/559</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Único: (…) honorários advocatícios, desde já fixados em 10% no montante do débito"</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10/10/1987</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31 / 06</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Banespa (inicial)</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"honorários advocatícios calculados na base de 10% (dez por cento) sobre o montante do débito, conforme cláusula contratual (…) Dá, à causa, o valor de cz$ 2.340.293,44"</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03/11/1987</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52 / 23</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Juiz Miguel Cucinelli</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"fixo os honorários advocatícios em [ilegível] % sobre o valor dado à causa"</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10/11/1987</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54 / 24</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Mandado</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"honorários advocatícios do exequente, arbitrados em 10% (dez por cento) do valor atribuído à causa"</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13/04/1988</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Embargos 0015252</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"Entrados em 13/04/1988 com origem no Processo Principal" (extrato e-SAJ)</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03/05/1991</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32/47 dos embargos (🟨 não lidos)</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Sentença dos embargos</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Segundo fls. 1483 e-SAJ (exequentes, 2024): "a condenação em verba honorária de sucumbência, no importe de 20% sobre o valor devido, foi arbitrada nos Embargos a Execução (fls. 32 a 47) dos autos em apenso, cujo trânsito em julgado ocorreu as fls. 85 (…) cuja sentença data de 03 de maio de 1991, onde foram rejeitados os embargos"</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06/02/1995</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165 / 122</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Contadoria (1ª conta)</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"HONORÁRIOS 20% R$ 26.502,72"</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02/03/1995</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177 / 132</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Banespa (Assessoria Jurídica)</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"HONORARIOS 20,00% R$ 705.476,53"</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05/10/1995</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180 / 134</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Contadoria (conta retificada)</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"Honorários 20% R$ 1.156.481,45"</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23/11/1995</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203 / 152</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Juiz Prado Neto</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homologa a conta de fls. 134/137</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12/09/2007</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2137/2139 (CP 600/602) / 148/150</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Santander</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"honorários advocatícios fixados nos Embargos à Execução no importe de 20% sobre o montante da execução (cópias autenticadas da sentença e acórdão anexa)"</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10/07/2009</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2402/2403 (CP 865/866)</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Santander (Tecnocon)</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"HONORARIOS EMBARGOS 847.132,35 x 20,00% = R$ 169.426,47"</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25/10/2019</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2885 (CP 1348)</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Cessionários</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"Honorários de 20% nos Embargos a Execução: R$ 371.081,38"</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19/04/2024</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1948 (CP 411)</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Cessionários</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"Honorários de 20% nos Embargos a Execução = R$ 543.791,22"</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02/05/2024</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1419 e 1421</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Executado</w:t>
            </w:r>
            <w:r>
              <w:rPr>
                <w:rFonts w:ascii="Times New Roman" w:cs="Times New Roman" w:eastAsia="Times New Roman" w:hAnsi="Times New Roman"/>
                <w:b w:val="false"/>
                <w:bCs w:val="false"/>
                <w:i w:val="false"/>
                <w:iCs w:val="false"/>
                <w:sz w:val="19"/>
                <w:szCs w:val="19"/>
              </w:rPr>
              <w:t xml:space="preserve"> (Zanoni)</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"condenado o embargante as verbas da sucumbência em 20% do valor do débito, que transitou em julgado"; "verba honorária sucumbencial de 20% sobre o valor do débito, verba que foi deferida ao procurador do Banco cedente nos autos dos embargos (…) não sendo objeto do contrato de cessão de crédito, mesmo porque os honorários sucumbenciais pertencem ao advogado"</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16/09/2024</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1538</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Exequentes</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"nem tampouco o pedido de desconsideração da verba honoraria arbitrada quando dos Embargos a Execução"</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08/05/2025</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3043</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Juiz Canezin</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multa de 10% e o valor dos honorários sequer são objeto de impugnação pelo executado"</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07/10/2025</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AI 2236642</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13ª CDP</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exceção de pré-executividade apresentada não veiculou alegação de indevida inclusão da verba sucumbencial no valor executado"</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20/08/2026</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3444/3445 (-2)</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Executado (Fittipaldi)</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"honorários sucumbenciais devem ser considerados de 10% sobre o valor da causa, conforme mandado de intimação de fls. 54"</w:t>
            </w:r>
          </w:p>
        </w:tc>
      </w:tr>
    </w:tbl>
    <w:p>
      <w:pPr>
        <w:spacing w:after="120"/>
      </w:pPr>
    </w:p>
    <w:p>
      <w:pPr>
        <w:spacing w:after="120" w:line="360"/>
        <w:jc w:val="both"/>
      </w:pPr>
      <w:r>
        <w:rPr>
          <w:rFonts w:ascii="Times New Roman" w:cs="Times New Roman" w:eastAsia="Times New Roman" w:hAnsi="Times New Roman"/>
          <w:b w:val="false"/>
          <w:bCs w:val="false"/>
          <w:i w:val="false"/>
          <w:iCs w:val="false"/>
        </w:rPr>
        <w:t xml:space="preserve">Ocorrências no texto dos autos: "vinte por cento": 0; "1º TAC" e "Tribunal de Alçada": 0; "V. Acórdão": só em peças de 2023/2024 sobre o AI 2236655 (fls. 1757/1758) e a decisão de Chavantes de 27/08/2024; "841/87": fls. 1456. Impugnação de 1995 (fls. 174/175) fala em "V. Acórdão" não identificado (🟨: provavelmente o acórdão dos embargos).</w:t>
      </w:r>
    </w:p>
    <w:p>
      <w:pPr>
        <w:spacing w:after="120" w:line="360"/>
        <w:jc w:val="both"/>
      </w:pPr>
      <w:r>
        <w:rPr>
          <w:rFonts w:ascii="Times New Roman" w:cs="Times New Roman" w:eastAsia="Times New Roman" w:hAnsi="Times New Roman"/>
          <w:b/>
          <w:bCs/>
          <w:i w:val="false"/>
          <w:iCs w:val="false"/>
        </w:rPr>
        <w:t xml:space="preserve">Complemento da v2 (fls. 55 a 173 lidas integralmente):</w:t>
      </w:r>
      <w:r>
        <w:rPr>
          <w:rFonts w:ascii="Times New Roman" w:cs="Times New Roman" w:eastAsia="Times New Roman" w:hAnsi="Times New Roman"/>
          <w:b w:val="false"/>
          <w:bCs w:val="false"/>
          <w:i w:val="false"/>
          <w:iCs w:val="false"/>
        </w:rPr>
        <w:t xml:space="preserve"> entre fls. 55 e 173 e-SAJ </w:t>
      </w:r>
      <w:r>
        <w:rPr>
          <w:rFonts w:ascii="Times New Roman" w:cs="Times New Roman" w:eastAsia="Times New Roman" w:hAnsi="Times New Roman"/>
          <w:b/>
          <w:bCs/>
          <w:i w:val="false"/>
          <w:iCs w:val="false"/>
        </w:rPr>
        <w:t xml:space="preserve">não há</w:t>
      </w:r>
      <w:r>
        <w:rPr>
          <w:rFonts w:ascii="Times New Roman" w:cs="Times New Roman" w:eastAsia="Times New Roman" w:hAnsi="Times New Roman"/>
          <w:b w:val="false"/>
          <w:bCs w:val="false"/>
          <w:i w:val="false"/>
          <w:iCs w:val="false"/>
        </w:rPr>
        <w:t xml:space="preserve"> certidão, cópia ou menção à sentença dos Embargos (03/05/1991), a acórdão, a "Tribunal de Alçada" ou a "apelação". Os únicos "20%" são os da 1ª conta (fls. 165 / 122, "HONORÁRIOS 20% R$ 26.502,72", sem indicação da fonte). A única fixação de honorários nesse trecho é a de </w:t>
      </w:r>
      <w:r>
        <w:rPr>
          <w:rFonts w:ascii="Times New Roman" w:cs="Times New Roman" w:eastAsia="Times New Roman" w:hAnsi="Times New Roman"/>
          <w:b/>
          <w:bCs/>
          <w:i w:val="false"/>
          <w:iCs w:val="false"/>
        </w:rPr>
        <w:t xml:space="preserve">15%</w:t>
      </w:r>
      <w:r>
        <w:rPr>
          <w:rFonts w:ascii="Times New Roman" w:cs="Times New Roman" w:eastAsia="Times New Roman" w:hAnsi="Times New Roman"/>
          <w:b w:val="false"/>
          <w:bCs w:val="false"/>
          <w:i w:val="false"/>
          <w:iCs w:val="false"/>
        </w:rPr>
        <w:t xml:space="preserve"> na sentença da Consignação nº 20/89 (fls. 87 / 52, 05/09/1989, Juiz Cucinelli), em que Chavantes tentou pagar sob a "anistia constitucional" e foi julgada carecedora de ação por já estar em mora. Não há nenhuma petição do executado ou de seu advogado (Moyses Guglielmetti Netto) entre fls. 55 e 173; depois do despacho "Digam sobre o cálculo de fls. 122 a 125" (fls. 169 / 126, 08/02/1995), só o Banespa se manifestou.</w:t>
      </w:r>
    </w:p>
    <w:p>
      <w:pPr>
        <w:pStyle w:val="Heading2"/>
        <w:keepNext/>
      </w:pPr>
      <w:r>
        <w:rPr>
          <w:rFonts w:ascii="Times New Roman" w:cs="Times New Roman" w:eastAsia="Times New Roman" w:hAnsi="Times New Roman"/>
        </w:rPr>
        <w:t xml:space="preserve">B3. Existe decisão fixando 20%?</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Nos autos da execução, entre fls. 27 e 204 e-SAJ, não há cópia da sentença/acórdão dos embargos</w:t>
      </w:r>
      <w:r>
        <w:rPr>
          <w:rFonts w:ascii="Times New Roman" w:cs="Times New Roman" w:eastAsia="Times New Roman" w:hAnsi="Times New Roman"/>
          <w:b w:val="false"/>
          <w:bCs w:val="false"/>
          <w:i w:val="false"/>
          <w:iCs w:val="false"/>
        </w:rPr>
        <w:t xml:space="preserve"> (fls. 55 a 173 lidas integralmente; fls. 27 a 55 e 174 a 204 lidas nas folhas relevantes). Há, porém, três provas indiretas convergentes: (i) a admissão do próprio executado em fls. 1419/1421 ("condenado o embargante as verbas da sucumbência em 20% do valor do débito, que transitou em julgado"); (ii) a petição do Santander de 2007 anexando "cópias autenticadas da sentença e acórdão"; (iii) as duas contas da Contadoria de 1995 (antes e depois da impugnação) aplicando 20%. Os 20% são </w:t>
      </w:r>
      <w:r>
        <w:rPr>
          <w:rFonts w:ascii="Times New Roman" w:cs="Times New Roman" w:eastAsia="Times New Roman" w:hAnsi="Times New Roman"/>
          <w:b/>
          <w:bCs/>
          <w:i w:val="false"/>
          <w:iCs w:val="false"/>
        </w:rPr>
        <w:t xml:space="preserve">sucumbência dos embargos</w:t>
      </w:r>
      <w:r>
        <w:rPr>
          <w:rFonts w:ascii="Times New Roman" w:cs="Times New Roman" w:eastAsia="Times New Roman" w:hAnsi="Times New Roman"/>
          <w:b w:val="false"/>
          <w:bCs w:val="false"/>
          <w:i w:val="false"/>
          <w:iCs w:val="false"/>
        </w:rPr>
        <w:t xml:space="preserve"> (sentença de 03/05/1991), cumulativos ou substitutivos dos 10% do "cite-se"; isso precisa ser lido na sentença. A tese do executado agora (fls. 3444) ignora a sua própria confissão de 2024.</w:t>
      </w:r>
    </w:p>
    <w:p>
      <w:pPr>
        <w:spacing w:after="120" w:line="360"/>
        <w:jc w:val="both"/>
      </w:pPr>
      <w:r>
        <w:rPr>
          <w:rFonts w:ascii="Times New Roman" w:cs="Times New Roman" w:eastAsia="Times New Roman" w:hAnsi="Times New Roman"/>
          <w:b/>
          <w:bCs/>
          <w:i w:val="false"/>
          <w:iCs w:val="false"/>
        </w:rPr>
        <w:t xml:space="preserve">O que fazer nos memoriais:</w:t>
      </w:r>
      <w:r>
        <w:rPr>
          <w:rFonts w:ascii="Times New Roman" w:cs="Times New Roman" w:eastAsia="Times New Roman" w:hAnsi="Times New Roman"/>
          <w:b w:val="false"/>
          <w:bCs w:val="false"/>
          <w:i w:val="false"/>
          <w:iCs w:val="false"/>
        </w:rPr>
        <w:t xml:space="preserve"> juntar (art. 435) a sentença e o acórdão dos embargos (cópias já nos autos da CP, fls. ~2140/2160 e-SAJ, ou dos autos digitalizados dos embargos, fls. 32/47 e 85), e transcrever fls. 1419/1421 e-SAJ como confissão do executado.</w:t>
      </w:r>
    </w:p>
    <w:p>
      <w:pPr>
        <w:pStyle w:val="Heading2"/>
        <w:keepNext/>
      </w:pPr>
      <w:r>
        <w:rPr>
          <w:rFonts w:ascii="Times New Roman" w:cs="Times New Roman" w:eastAsia="Times New Roman" w:hAnsi="Times New Roman"/>
        </w:rPr>
        <w:t xml:space="preserve">B4. Base de cálculo</w:t>
      </w:r>
    </w:p>
    <w:p>
      <w:pPr>
        <w:spacing w:after="120" w:line="360"/>
        <w:jc w:val="both"/>
      </w:pPr>
      <w:r>
        <w:rPr>
          <w:rFonts w:ascii="Times New Roman" w:cs="Times New Roman" w:eastAsia="Times New Roman" w:hAnsi="Times New Roman"/>
          <w:b w:val="false"/>
          <w:bCs w:val="false"/>
          <w:i w:val="false"/>
          <w:iCs w:val="false"/>
        </w:rPr>
        <w:t xml:space="preserve">🟩 A conta homologada (fls. 180 / 134) calcula 20% sobre </w:t>
      </w:r>
      <w:r>
        <w:rPr>
          <w:rFonts w:ascii="Times New Roman" w:cs="Times New Roman" w:eastAsia="Times New Roman" w:hAnsi="Times New Roman"/>
          <w:b/>
          <w:bCs/>
          <w:i w:val="false"/>
          <w:iCs w:val="false"/>
        </w:rPr>
        <w:t xml:space="preserve">saldo + multa</w:t>
      </w:r>
      <w:r>
        <w:rPr>
          <w:rFonts w:ascii="Times New Roman" w:cs="Times New Roman" w:eastAsia="Times New Roman" w:hAnsi="Times New Roman"/>
          <w:b w:val="false"/>
          <w:bCs w:val="false"/>
          <w:i w:val="false"/>
          <w:iCs w:val="false"/>
        </w:rPr>
        <w:t xml:space="preserve"> (R$ 5.782.407,24 × 20% = R$ 1.156.481,45). Fls. 177 (Banespa) idem. O mandado fixa 10% sobre o valor da causa. </w:t>
      </w:r>
      <w:r>
        <w:rPr>
          <w:rFonts w:ascii="Times New Roman" w:cs="Times New Roman" w:eastAsia="Times New Roman" w:hAnsi="Times New Roman"/>
          <w:b/>
          <w:bCs/>
          <w:i w:val="false"/>
          <w:iCs w:val="false"/>
        </w:rPr>
        <w:t xml:space="preserve">Risco de redução:</w:t>
      </w:r>
      <w:r>
        <w:rPr>
          <w:rFonts w:ascii="Times New Roman" w:cs="Times New Roman" w:eastAsia="Times New Roman" w:hAnsi="Times New Roman"/>
          <w:b w:val="false"/>
          <w:bCs w:val="false"/>
          <w:i w:val="false"/>
          <w:iCs w:val="false"/>
        </w:rPr>
        <w:t xml:space="preserve"> baixo no agravo (a Câmara já disse, no AI 2236642, que não aprecia honorários originariamente); médio na origem, se o executado provar que a sentença de 1991 fixou 20% "sobre o valor dos embargos" ou base diversa. Não cabe redução de ofício de verba já homologada e preclusa (AgInt no REsp 2.127.021).</w:t>
      </w:r>
    </w:p>
    <w:p>
      <w:pPr>
        <w:pStyle w:val="Heading2"/>
        <w:keepNext/>
      </w:pPr>
      <w:r>
        <w:rPr>
          <w:rFonts w:ascii="Times New Roman" w:cs="Times New Roman" w:eastAsia="Times New Roman" w:hAnsi="Times New Roman"/>
        </w:rPr>
        <w:t xml:space="preserve">B5. Estratégia</w:t>
      </w:r>
    </w:p>
    <w:p>
      <w:pPr>
        <w:spacing w:after="120" w:line="360"/>
        <w:jc w:val="both"/>
      </w:pPr>
      <w:r>
        <w:rPr>
          <w:rFonts w:ascii="Times New Roman" w:cs="Times New Roman" w:eastAsia="Times New Roman" w:hAnsi="Times New Roman"/>
          <w:b w:val="false"/>
          <w:bCs w:val="false"/>
          <w:i w:val="false"/>
          <w:iCs w:val="false"/>
        </w:rPr>
        <w:t xml:space="preserve">Recomendação: </w:t>
      </w:r>
      <w:r>
        <w:rPr>
          <w:rFonts w:ascii="Times New Roman" w:cs="Times New Roman" w:eastAsia="Times New Roman" w:hAnsi="Times New Roman"/>
          <w:b/>
          <w:bCs/>
          <w:i w:val="false"/>
          <w:iCs w:val="false"/>
        </w:rPr>
        <w:t xml:space="preserve">(i) defender 20% pela preclusão da conta homologada e pela sentença dos embargos</w:t>
      </w:r>
      <w:r>
        <w:rPr>
          <w:rFonts w:ascii="Times New Roman" w:cs="Times New Roman" w:eastAsia="Times New Roman" w:hAnsi="Times New Roman"/>
          <w:b w:val="false"/>
          <w:bCs w:val="false"/>
          <w:i w:val="false"/>
          <w:iCs w:val="false"/>
        </w:rPr>
        <w:t xml:space="preserve">, com juntada das peças, e </w:t>
      </w:r>
      <w:r>
        <w:rPr>
          <w:rFonts w:ascii="Times New Roman" w:cs="Times New Roman" w:eastAsia="Times New Roman" w:hAnsi="Times New Roman"/>
          <w:b/>
          <w:bCs/>
          <w:i w:val="false"/>
          <w:iCs w:val="false"/>
        </w:rPr>
        <w:t xml:space="preserve">(ii) pedir subsidiariamente</w:t>
      </w:r>
      <w:r>
        <w:rPr>
          <w:rFonts w:ascii="Times New Roman" w:cs="Times New Roman" w:eastAsia="Times New Roman" w:hAnsi="Times New Roman"/>
          <w:b w:val="false"/>
          <w:bCs w:val="false"/>
          <w:i w:val="false"/>
          <w:iCs w:val="false"/>
        </w:rPr>
        <w:t xml:space="preserve"> a manutenção dos 10% contratuais "sobre o montante do débito" (cláusula 5, § único; inicial), </w:t>
      </w:r>
      <w:r>
        <w:rPr>
          <w:rFonts w:ascii="Times New Roman" w:cs="Times New Roman" w:eastAsia="Times New Roman" w:hAnsi="Times New Roman"/>
          <w:b/>
          <w:bCs/>
          <w:i w:val="false"/>
          <w:iCs w:val="false"/>
        </w:rPr>
        <w:t xml:space="preserve">nunca</w:t>
      </w:r>
      <w:r>
        <w:rPr>
          <w:rFonts w:ascii="Times New Roman" w:cs="Times New Roman" w:eastAsia="Times New Roman" w:hAnsi="Times New Roman"/>
          <w:b w:val="false"/>
          <w:bCs w:val="false"/>
          <w:i w:val="false"/>
          <w:iCs w:val="false"/>
        </w:rPr>
        <w:t xml:space="preserve"> "10% sobre o valor da causa" (que reduziria a verba a poucas dezenas de milhares de reais). Silenciar (iii) é pior: o executado já colocou o tema na origem (fls. 3444) e a Relatora lê os autos.</w:t>
      </w:r>
    </w:p>
    <w:p>
      <w:pPr>
        <w:spacing w:after="120" w:line="360"/>
        <w:jc w:val="both"/>
      </w:pPr>
      <w:r>
        <w:rPr>
          <w:rFonts w:ascii="Times New Roman" w:cs="Times New Roman" w:eastAsia="Times New Roman" w:hAnsi="Times New Roman"/>
          <w:b w:val="false"/>
          <w:bCs w:val="false"/>
          <w:i w:val="false"/>
          <w:iCs w:val="false"/>
        </w:rPr>
        <w:t xml:space="preserve">Sobre fls. 52: o agravo afirmou 20% "expressamente". A folha é ilegível e três documentos coevos dizem 10%. Há risco real de arguição do art. 80, II. Retificar nos memoriais ("por cautela, registra-se que o algarismo de fls. 52 é de difícil leitura; a fonte dos 20% é a sentença dos embargos, como o próprio executado admitiu a fls. 1419/1421").</w:t>
      </w:r>
    </w:p>
    <w:p>
      <w:pPr>
        <w:pStyle w:val="Heading2"/>
        <w:keepNext/>
      </w:pPr>
      <w:r>
        <w:rPr>
          <w:rFonts w:ascii="Times New Roman" w:cs="Times New Roman" w:eastAsia="Times New Roman" w:hAnsi="Times New Roman"/>
        </w:rPr>
        <w:t xml:space="preserve">B6. Habilitação de fls. 138/139 física</w:t>
      </w:r>
    </w:p>
    <w:p>
      <w:pPr>
        <w:spacing w:after="120" w:line="360"/>
        <w:jc w:val="both"/>
      </w:pPr>
      <w:r>
        <w:rPr>
          <w:rFonts w:ascii="Times New Roman" w:cs="Times New Roman" w:eastAsia="Times New Roman" w:hAnsi="Times New Roman"/>
          <w:b w:val="false"/>
          <w:bCs w:val="false"/>
          <w:i w:val="false"/>
          <w:iCs w:val="false"/>
        </w:rPr>
        <w:t xml:space="preserve">🟨 (inalterado na v2: fls. 185/186 e-SAJ não estão em nenhum arquivo recebido) fls. 202 e-SAJ / 151 física (Banespa, 08/11/1995): "informar que nada tem a opor com relação ao pedido de habilitação de credito feito às fls. 138/139 destes autos". A decisão de fls. 203 identifica: "defiro a habilitação pleiteada a fls. 138/139, pelo Banco Bradesco S/A, aguardando-se futura arrematação do bem penhorado". A decisão de fls. 3038 localiza a petição em </w:t>
      </w:r>
      <w:r>
        <w:rPr>
          <w:rFonts w:ascii="Times New Roman" w:cs="Times New Roman" w:eastAsia="Times New Roman" w:hAnsi="Times New Roman"/>
          <w:b/>
          <w:bCs/>
          <w:i w:val="false"/>
          <w:iCs w:val="false"/>
        </w:rPr>
        <w:t xml:space="preserve">fls. 185/186 e-SAJ</w:t>
      </w:r>
      <w:r>
        <w:rPr>
          <w:rFonts w:ascii="Times New Roman" w:cs="Times New Roman" w:eastAsia="Times New Roman" w:hAnsi="Times New Roman"/>
          <w:b w:val="false"/>
          <w:bCs w:val="false"/>
          <w:i w:val="false"/>
          <w:iCs w:val="false"/>
        </w:rPr>
        <w:t xml:space="preserve">. Não li a petição (fora dos arquivos abertos). Relação com honorários: nenhuma. Relevância: o Bradesco é credor habilitado (crédito de R$ 995.037,18 conforme fls. 3282) e concorrerá no produto da arrematação.</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BLOCO C — ENCARGOS DA CÉDULA INDUSTRIAL</w:t>
      </w:r>
    </w:p>
    <w:p>
      <w:pPr>
        <w:pStyle w:val="Heading2"/>
        <w:keepNext/>
      </w:pPr>
      <w:r>
        <w:rPr>
          <w:rFonts w:ascii="Times New Roman" w:cs="Times New Roman" w:eastAsia="Times New Roman" w:hAnsi="Times New Roman"/>
        </w:rPr>
        <w:t xml:space="preserve">C1. Mora de 1% ao mês x 1% ao ano</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Ponto fraco real.</w:t>
      </w:r>
      <w:r>
        <w:rPr>
          <w:rFonts w:ascii="Times New Roman" w:cs="Times New Roman" w:eastAsia="Times New Roman" w:hAnsi="Times New Roman"/>
          <w:b w:val="false"/>
          <w:bCs w:val="false"/>
          <w:i w:val="false"/>
          <w:iCs w:val="false"/>
        </w:rPr>
        <w:t xml:space="preserve"> Cláusula 5 (fls. 39 / 12): "acrescida da mora de 1% ao mês e da multa de 10% sobre o débito em aberto". DL 413/69, art. 5º, parágrafo único: "Em caso de mora, a taxa de juros constante da cédula será elevável de 1% (um por cento) ao ano." A conta de 1995 aplicou "JUROS MORA 1% a.m." capitalizado mensalmente. Impacto aproximado (recomposição das oito primeiras linhas, feita ontem): retirar o fator 1,01 mensal e substituí-lo por 1,000833 ao longo de 99 meses reduz o saldo de 08/95 em ordem de grandeza de </w:t>
      </w:r>
      <w:r>
        <w:rPr>
          <w:rFonts w:ascii="Times New Roman" w:cs="Times New Roman" w:eastAsia="Times New Roman" w:hAnsi="Times New Roman"/>
          <w:b/>
          <w:bCs/>
          <w:i w:val="false"/>
          <w:iCs w:val="false"/>
        </w:rPr>
        <w:t xml:space="preserve">1,01^99 / 1,000833^99 ≈ 2,68 / 1,086 ≈ 2,5 vezes</w:t>
      </w:r>
      <w:r>
        <w:rPr>
          <w:rFonts w:ascii="Times New Roman" w:cs="Times New Roman" w:eastAsia="Times New Roman" w:hAnsi="Times New Roman"/>
          <w:b w:val="false"/>
          <w:bCs w:val="false"/>
          <w:i w:val="false"/>
          <w:iCs w:val="false"/>
        </w:rPr>
        <w:t xml:space="preserve"> (estimativa; a exata exige refazer a planilha). O executado pode dizer que ~60% do saldo de 1995 é mora ilegal capitalizada. Defesa: preclusão (critério, não erro material; AgInt no REsp 2.127.021) e o fato de o Banespa ter pedido, e o juízo homologado, exatamente esses encargos (fls. 174/175 → 203), sem que o devedor, citado (fls. 54/55), impugnasse.</w:t>
      </w:r>
    </w:p>
    <w:p>
      <w:pPr>
        <w:pStyle w:val="Heading2"/>
        <w:keepNext/>
      </w:pPr>
      <w:r>
        <w:rPr>
          <w:rFonts w:ascii="Times New Roman" w:cs="Times New Roman" w:eastAsia="Times New Roman" w:hAnsi="Times New Roman"/>
        </w:rPr>
        <w:t xml:space="preserve">C2. Capitalização mensal</w:t>
      </w:r>
    </w:p>
    <w:p>
      <w:pPr>
        <w:spacing w:after="120" w:line="360"/>
        <w:jc w:val="both"/>
      </w:pPr>
      <w:r>
        <w:rPr>
          <w:rFonts w:ascii="Times New Roman" w:cs="Times New Roman" w:eastAsia="Times New Roman" w:hAnsi="Times New Roman"/>
          <w:b w:val="false"/>
          <w:bCs w:val="false"/>
          <w:i w:val="false"/>
          <w:iCs w:val="false"/>
        </w:rPr>
        <w:t xml:space="preserve">🟩 A conta capitaliza </w:t>
      </w:r>
      <w:r>
        <w:rPr>
          <w:rFonts w:ascii="Times New Roman" w:cs="Times New Roman" w:eastAsia="Times New Roman" w:hAnsi="Times New Roman"/>
          <w:b/>
          <w:bCs/>
          <w:i w:val="false"/>
          <w:iCs w:val="false"/>
        </w:rPr>
        <w:t xml:space="preserve">mensalmente</w:t>
      </w:r>
      <w:r>
        <w:rPr>
          <w:rFonts w:ascii="Times New Roman" w:cs="Times New Roman" w:eastAsia="Times New Roman" w:hAnsi="Times New Roman"/>
          <w:b w:val="false"/>
          <w:bCs w:val="false"/>
          <w:i w:val="false"/>
          <w:iCs w:val="false"/>
        </w:rPr>
        <w:t xml:space="preserve"> (o saldo de cada mês é base do seguinte: 05/87 Cz$ 1.210.000,00 → 06/87 1.510.976,97 → 07/87 1.647.489,69 → 08/87 1.854.034,86; recomposição fecha com 57,18% a.a. nominal /12 + 1% a.m. + C.M.). O Banespa pedira </w:t>
      </w:r>
      <w:r>
        <w:rPr>
          <w:rFonts w:ascii="Times New Roman" w:cs="Times New Roman" w:eastAsia="Times New Roman" w:hAnsi="Times New Roman"/>
          <w:b/>
          <w:bCs/>
          <w:i w:val="false"/>
          <w:iCs w:val="false"/>
        </w:rPr>
        <w:t xml:space="preserve">semestral</w:t>
      </w:r>
      <w:r>
        <w:rPr>
          <w:rFonts w:ascii="Times New Roman" w:cs="Times New Roman" w:eastAsia="Times New Roman" w:hAnsi="Times New Roman"/>
          <w:b w:val="false"/>
          <w:bCs w:val="false"/>
          <w:i w:val="false"/>
          <w:iCs w:val="false"/>
        </w:rPr>
        <w:t xml:space="preserve"> (fls. 175 / 130: "Os juros devem ser capitalizados semestralmente por se tratar de Cédula de Crédito Industrial"). A cédula, cláusula 3, diz que os encargos são "exigíveis (…) ao final de cada mês e no vencimento", e o DL 413/69 admite capitalização em "outras datas convencionadas no título" (art. 5º) e "facultará ao financiador a capitalização dos juros" na inadimplência (art. 11, § 2º). Súmula 93/STJ e REsp 31.025/RS (4ª T., Sálvio de Figueiredo, 17/02/1993: "Lícito se mostra pactuar, em cédula de crédito industrial, capitalização mensal de juros") sustentam a periodicidade mensal pactuada. O executado dirá que "exigível" não é "capitalizável"; resposta: art. 11, § 2º, DL 413 + preclusão.</w:t>
      </w:r>
    </w:p>
    <w:p>
      <w:pPr>
        <w:pStyle w:val="Heading2"/>
        <w:keepNext/>
      </w:pPr>
      <w:r>
        <w:rPr>
          <w:rFonts w:ascii="Times New Roman" w:cs="Times New Roman" w:eastAsia="Times New Roman" w:hAnsi="Times New Roman"/>
        </w:rPr>
        <w:t xml:space="preserve">C3. "Maior taxa vigente no início de cada mês"</w:t>
      </w:r>
    </w:p>
    <w:p>
      <w:pPr>
        <w:spacing w:after="120" w:line="360"/>
        <w:jc w:val="both"/>
      </w:pPr>
      <w:r>
        <w:rPr>
          <w:rFonts w:ascii="Times New Roman" w:cs="Times New Roman" w:eastAsia="Times New Roman" w:hAnsi="Times New Roman"/>
          <w:b w:val="false"/>
          <w:bCs w:val="false"/>
          <w:i w:val="false"/>
          <w:iCs w:val="false"/>
        </w:rPr>
        <w:t xml:space="preserve">🟨 Cláusula 5: "maior taxa de encargos pós-fixados vigorante no início de cada mês". É cláusula de taxa flutuante referida às LBC ("rendimento nominal das Letras do Banco Central – taxa fiscal, acrescida da taxa efetiva de juros de 45,00% ao ano", campo 11). A Súmula 176/STJ (nulidade da taxa divulgada pela ANBID/CETIP) é analogia possível, mas a conta de 1995 usou 57,18% a.a. fixos (não a "maior taxa"), o que enfraquece a analogia. De todo modo, é critério </w:t>
      </w:r>
      <w:r>
        <w:rPr>
          <w:rFonts w:ascii="Times New Roman" w:cs="Times New Roman" w:eastAsia="Times New Roman" w:hAnsi="Times New Roman"/>
          <w:b/>
          <w:bCs/>
          <w:i w:val="false"/>
          <w:iCs w:val="false"/>
        </w:rPr>
        <w:t xml:space="preserve">coberto pela preclusão de 1995</w:t>
      </w:r>
      <w:r>
        <w:rPr>
          <w:rFonts w:ascii="Times New Roman" w:cs="Times New Roman" w:eastAsia="Times New Roman" w:hAnsi="Times New Roman"/>
          <w:b w:val="false"/>
          <w:bCs w:val="false"/>
          <w:i w:val="false"/>
          <w:iCs w:val="false"/>
        </w:rPr>
        <w:t xml:space="preserve">. Não trazer o tema; só responder se a contraminuta o suscitar.</w:t>
      </w:r>
    </w:p>
    <w:p>
      <w:pPr>
        <w:pStyle w:val="Heading2"/>
        <w:keepNext/>
      </w:pPr>
      <w:r>
        <w:rPr>
          <w:rFonts w:ascii="Times New Roman" w:cs="Times New Roman" w:eastAsia="Times New Roman" w:hAnsi="Times New Roman"/>
        </w:rPr>
        <w:t xml:space="preserve">C4. Cessão e encargos</w:t>
      </w:r>
    </w:p>
    <w:p>
      <w:pPr>
        <w:spacing w:after="120" w:line="360"/>
        <w:jc w:val="both"/>
      </w:pPr>
      <w:r>
        <w:rPr>
          <w:rFonts w:ascii="Times New Roman" w:cs="Times New Roman" w:eastAsia="Times New Roman" w:hAnsi="Times New Roman"/>
          <w:b w:val="false"/>
          <w:bCs w:val="false"/>
          <w:i w:val="false"/>
          <w:iCs w:val="false"/>
        </w:rPr>
        <w:t xml:space="preserve">🟩 REsp 1.984.424/SP (3ª T., Villas Bôas Cueva, 23/08/2022, trânsito 20/09/2022) trata de </w:t>
      </w:r>
      <w:r>
        <w:rPr>
          <w:rFonts w:ascii="Times New Roman" w:cs="Times New Roman" w:eastAsia="Times New Roman" w:hAnsi="Times New Roman"/>
          <w:b/>
          <w:bCs/>
          <w:i w:val="false"/>
          <w:iCs w:val="false"/>
        </w:rPr>
        <w:t xml:space="preserve">Cédula de Crédito Bancário</w:t>
      </w:r>
      <w:r>
        <w:rPr>
          <w:rFonts w:ascii="Times New Roman" w:cs="Times New Roman" w:eastAsia="Times New Roman" w:hAnsi="Times New Roman"/>
          <w:b w:val="false"/>
          <w:bCs w:val="false"/>
          <w:i w:val="false"/>
          <w:iCs w:val="false"/>
        </w:rPr>
        <w:t xml:space="preserve"> (art. 29, § 1º, Lei 10.931/04), mas a ementa funda-se também no </w:t>
      </w:r>
      <w:r>
        <w:rPr>
          <w:rFonts w:ascii="Times New Roman" w:cs="Times New Roman" w:eastAsia="Times New Roman" w:hAnsi="Times New Roman"/>
          <w:b/>
          <w:bCs/>
          <w:i w:val="false"/>
          <w:iCs w:val="false"/>
        </w:rPr>
        <w:t xml:space="preserve">art. 893 do CC</w:t>
      </w:r>
      <w:r>
        <w:rPr>
          <w:rFonts w:ascii="Times New Roman" w:cs="Times New Roman" w:eastAsia="Times New Roman" w:hAnsi="Times New Roman"/>
          <w:b w:val="false"/>
          <w:bCs w:val="false"/>
          <w:i w:val="false"/>
          <w:iCs w:val="false"/>
        </w:rPr>
        <w:t xml:space="preserve"> ("a transferência do título de crédito implica a de todos os direitos que lhe são inerentes") e no </w:t>
      </w:r>
      <w:r>
        <w:rPr>
          <w:rFonts w:ascii="Times New Roman" w:cs="Times New Roman" w:eastAsia="Times New Roman" w:hAnsi="Times New Roman"/>
          <w:b/>
          <w:bCs/>
          <w:i w:val="false"/>
          <w:iCs w:val="false"/>
        </w:rPr>
        <w:t xml:space="preserve">Tema 361/STF</w:t>
      </w:r>
      <w:r>
        <w:rPr>
          <w:rFonts w:ascii="Times New Roman" w:cs="Times New Roman" w:eastAsia="Times New Roman" w:hAnsi="Times New Roman"/>
          <w:b w:val="false"/>
          <w:bCs w:val="false"/>
          <w:i w:val="false"/>
          <w:iCs w:val="false"/>
        </w:rPr>
        <w:t xml:space="preserve"> (RE 631.537: cessão não altera a natureza do crédito), fundamentos que valem para a cédula industrial (título de crédito, art. 10 DL 413; direito cambial, art. 52). Somam-se arts. 286 e 287 CC (acessórios) e art. 778, § 1º, III, CPC (cessionário promove a execução).</w:t>
      </w:r>
    </w:p>
    <w:p>
      <w:pPr>
        <w:spacing w:after="120" w:line="360"/>
        <w:jc w:val="both"/>
      </w:pPr>
      <w:r>
        <w:rPr>
          <w:rFonts w:ascii="Times New Roman" w:cs="Times New Roman" w:eastAsia="Times New Roman" w:hAnsi="Times New Roman"/>
          <w:b w:val="false"/>
          <w:bCs w:val="false"/>
          <w:i w:val="false"/>
          <w:iCs w:val="false"/>
        </w:rPr>
        <w:t xml:space="preserve">Contrário: 🟥 </w:t>
      </w:r>
      <w:r>
        <w:rPr>
          <w:rFonts w:ascii="Times New Roman" w:cs="Times New Roman" w:eastAsia="Times New Roman" w:hAnsi="Times New Roman"/>
          <w:b/>
          <w:bCs/>
          <w:i w:val="false"/>
          <w:iCs w:val="false"/>
        </w:rPr>
        <w:t xml:space="preserve">o arquivo "Registro 2021-0000902160 NAO PODE COBRAR JUROS…" diz o oposto do título.</w:t>
      </w:r>
      <w:r>
        <w:rPr>
          <w:rFonts w:ascii="Times New Roman" w:cs="Times New Roman" w:eastAsia="Times New Roman" w:hAnsi="Times New Roman"/>
          <w:b w:val="false"/>
          <w:bCs w:val="false"/>
          <w:i w:val="false"/>
          <w:iCs w:val="false"/>
        </w:rPr>
        <w:t xml:space="preserve"> É o AI 2065526-45.2021.8.26.0000 (23ª CDP, j. 20/10/2021, </w:t>
      </w:r>
      <w:r>
        <w:rPr>
          <w:rFonts w:ascii="Times New Roman" w:cs="Times New Roman" w:eastAsia="Times New Roman" w:hAnsi="Times New Roman"/>
          <w:b/>
          <w:bCs/>
          <w:i w:val="false"/>
          <w:iCs w:val="false"/>
        </w:rPr>
        <w:t xml:space="preserve">por maioria</w:t>
      </w:r>
      <w:r>
        <w:rPr>
          <w:rFonts w:ascii="Times New Roman" w:cs="Times New Roman" w:eastAsia="Times New Roman" w:hAnsi="Times New Roman"/>
          <w:b w:val="false"/>
          <w:bCs w:val="false"/>
          <w:i w:val="false"/>
          <w:iCs w:val="false"/>
        </w:rPr>
        <w:t xml:space="preserve">, acórdão do Des. Marcos Gozzo): a maioria decidiu que o cessionário </w:t>
      </w:r>
      <w:r>
        <w:rPr>
          <w:rFonts w:ascii="Times New Roman" w:cs="Times New Roman" w:eastAsia="Times New Roman" w:hAnsi="Times New Roman"/>
          <w:b/>
          <w:bCs/>
          <w:i w:val="false"/>
          <w:iCs w:val="false"/>
        </w:rPr>
        <w:t xml:space="preserve">PODE</w:t>
      </w:r>
      <w:r>
        <w:rPr>
          <w:rFonts w:ascii="Times New Roman" w:cs="Times New Roman" w:eastAsia="Times New Roman" w:hAnsi="Times New Roman"/>
          <w:b w:val="false"/>
          <w:bCs w:val="false"/>
          <w:i w:val="false"/>
          <w:iCs w:val="false"/>
        </w:rPr>
        <w:t xml:space="preserve"> cobrar os encargos da cédula. A tese "não pode" está só no </w:t>
      </w:r>
      <w:r>
        <w:rPr>
          <w:rFonts w:ascii="Times New Roman" w:cs="Times New Roman" w:eastAsia="Times New Roman" w:hAnsi="Times New Roman"/>
          <w:b/>
          <w:bCs/>
          <w:i w:val="false"/>
          <w:iCs w:val="false"/>
        </w:rPr>
        <w:t xml:space="preserve">voto vencido</w:t>
      </w:r>
      <w:r>
        <w:rPr>
          <w:rFonts w:ascii="Times New Roman" w:cs="Times New Roman" w:eastAsia="Times New Roman" w:hAnsi="Times New Roman"/>
          <w:b w:val="false"/>
          <w:bCs w:val="false"/>
          <w:i w:val="false"/>
          <w:iCs w:val="false"/>
        </w:rPr>
        <w:t xml:space="preserve"> (Des. Virgílio de Oliveira Junior). Não citar como contrário; citar como favorável, com a ressalva de que é CCB e por maioria. Os precedentes citados na decisão de fls. 3042/3043 (13ª CDP, Ap. 1040981-64.2018, Rel. Francisco Giaquinto, 27/01/2021; 11ª CDP, AI 9006440-44.2009; 24ª CDP, EDcl 2140987-28.2018) dizem que o cessionário civil não cobra encargos bancários após a cessão — e o Des. Giaquinto integra a 13ª CDP. </w:t>
      </w:r>
      <w:r>
        <w:rPr>
          <w:rFonts w:ascii="Times New Roman" w:cs="Times New Roman" w:eastAsia="Times New Roman" w:hAnsi="Times New Roman"/>
          <w:b/>
          <w:bCs/>
          <w:i w:val="false"/>
          <w:iCs w:val="false"/>
        </w:rPr>
        <w:t xml:space="preserve">Risco alto se os memoriais insistirem em encargos pós-cessão.</w:t>
      </w:r>
      <w:r>
        <w:rPr>
          <w:rFonts w:ascii="Times New Roman" w:cs="Times New Roman" w:eastAsia="Times New Roman" w:hAnsi="Times New Roman"/>
          <w:b w:val="false"/>
          <w:bCs w:val="false"/>
          <w:i w:val="false"/>
          <w:iCs w:val="false"/>
        </w:rPr>
        <w:t xml:space="preserve"> Mas os exequentes não cobram encargos bancários pós-1995 (fls. 3043), de modo que o tema só importa para a fase 1987-1995, quando o credor era o Banespa.</w:t>
      </w:r>
    </w:p>
    <w:p>
      <w:pPr>
        <w:pStyle w:val="Heading2"/>
        <w:keepNext/>
      </w:pPr>
      <w:r>
        <w:rPr>
          <w:rFonts w:ascii="Times New Roman" w:cs="Times New Roman" w:eastAsia="Times New Roman" w:hAnsi="Times New Roman"/>
        </w:rPr>
        <w:t xml:space="preserve">C5. Proporcionalidade</w:t>
      </w:r>
    </w:p>
    <w:p>
      <w:pPr>
        <w:spacing w:after="120" w:line="360"/>
        <w:jc w:val="both"/>
      </w:pPr>
      <w:r>
        <w:rPr>
          <w:rFonts w:ascii="Times New Roman" w:cs="Times New Roman" w:eastAsia="Times New Roman" w:hAnsi="Times New Roman"/>
          <w:b w:val="false"/>
          <w:bCs w:val="false"/>
          <w:i w:val="false"/>
          <w:iCs w:val="false"/>
        </w:rPr>
        <w:t xml:space="preserve">🟨 Números literais nos autos: cessão por R$ 200.000,00 (31/03/2010, fls. 655/660 e-SAJ / 537/542 física); Santander 2007: R$ 859.100,93; Santander 2009: R$ 1.016.558,82; cessionários 2011: R$ 1.140.030,51; 2019: R$ 2.226.488,29; 19/04/2024: R$ 3.262.747,35; 04/06/2025: R$ 3.870.274,56; parecer Fred 25/03/2026: R$ 185.096.002,92; executado 08/2026: R$ 2.911.270,42; imóvel: R$ 10.310.000,00 (set/2021) → R$ 12.833.936,57 (nov/2025).</w:t>
      </w:r>
    </w:p>
    <w:p>
      <w:pPr>
        <w:spacing w:after="120" w:line="360"/>
        <w:jc w:val="both"/>
      </w:pPr>
      <w:r>
        <w:rPr>
          <w:rFonts w:ascii="Times New Roman" w:cs="Times New Roman" w:eastAsia="Times New Roman" w:hAnsi="Times New Roman"/>
          <w:b w:val="false"/>
          <w:bCs w:val="false"/>
          <w:i w:val="false"/>
          <w:iCs w:val="false"/>
        </w:rPr>
        <w:t xml:space="preserve">A Relatora, que no AI 2236642 chamou de "expressivo" o valor de fls. 3055 (R$ 4 milhões) para reduzir a multa, tenderá a ver R$ 185 milhões como desproporcional, ainda mais quando o Santander, em 2007, disse que "por mera liberalidade" abandonava a conta de 1995 e calculava R$ 859 mil. </w:t>
      </w:r>
      <w:r>
        <w:rPr>
          <w:rFonts w:ascii="Times New Roman" w:cs="Times New Roman" w:eastAsia="Times New Roman" w:hAnsi="Times New Roman"/>
          <w:b/>
          <w:bCs/>
          <w:i w:val="false"/>
          <w:iCs w:val="false"/>
        </w:rPr>
        <w:t xml:space="preserve">Pedido principal recomendado:</w:t>
      </w:r>
      <w:r>
        <w:rPr>
          <w:rFonts w:ascii="Times New Roman" w:cs="Times New Roman" w:eastAsia="Times New Roman" w:hAnsi="Times New Roman"/>
          <w:b w:val="false"/>
          <w:bCs w:val="false"/>
          <w:i w:val="false"/>
          <w:iCs w:val="false"/>
        </w:rPr>
        <w:t xml:space="preserve"> reconhecimento da base de 1995 com remessa à origem para liquidação (perícia) — não a homologação de R$ 185 milhões. </w:t>
      </w:r>
      <w:r>
        <w:rPr>
          <w:rFonts w:ascii="Times New Roman" w:cs="Times New Roman" w:eastAsia="Times New Roman" w:hAnsi="Times New Roman"/>
          <w:b/>
          <w:bCs/>
          <w:i w:val="false"/>
          <w:iCs w:val="false"/>
        </w:rPr>
        <w:t xml:space="preserve">Subsidiário:</w:t>
      </w:r>
      <w:r>
        <w:rPr>
          <w:rFonts w:ascii="Times New Roman" w:cs="Times New Roman" w:eastAsia="Times New Roman" w:hAnsi="Times New Roman"/>
          <w:b w:val="false"/>
          <w:bCs w:val="false"/>
          <w:i w:val="false"/>
          <w:iCs w:val="false"/>
        </w:rPr>
        <w:t xml:space="preserve"> que a perícia parta do saldo de 1995 com juros simples e sem capitalização posterior. Como ordem de grandeza, a só correção do saldo de 1995 mais multa e honorários dá cerca de R$ 44 milhões (mar/2026), valor que já supera em muito o imóvel; o excedente do produto da arrematação nunca chegará aos credores. Diga isso à Câmara: a disputa real é se o produto do leilão (R$ 12,8 milhões) será integralmente dos credores ou se sobrará "troco" ao devedor.</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BLOCO D — AUDITORIA DAS CITAÇÕES DO AGRAVO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054"/>
        <w:gridCol w:w="893"/>
        <w:gridCol w:w="4124"/>
      </w:tblGrid>
      <w:tr>
        <w:trPr>
          <w:cantSplit/>
          <w:tblHeader/>
        </w:trPr>
        <w:tc>
          <w:tcPr>
            <w:tcW w:type="dxa" w:w="405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Citação no agravo</w:t>
            </w:r>
          </w:p>
        </w:tc>
        <w:tc>
          <w:tcPr>
            <w:tcW w:type="dxa" w:w="89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Sinal</w:t>
            </w:r>
          </w:p>
        </w:tc>
        <w:tc>
          <w:tcPr>
            <w:tcW w:type="dxa" w:w="412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Verificação</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1.861.550/DF, Og Fernandes, 2ª T.</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Existe; j. 16/06/2020, DJe 04/08/2020; ementa fiel; contexto: Fazenda Pública/RE 870.947, título judicial. Favorável por analogia</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AREsp 2.569.822/DF, Marco Buzzi, 29/05/2024</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Decisão monocrática de </w:t>
            </w:r>
            <w:r>
              <w:rPr>
                <w:rFonts w:ascii="Times New Roman" w:cs="Times New Roman" w:eastAsia="Times New Roman" w:hAnsi="Times New Roman"/>
                <w:b/>
                <w:bCs/>
                <w:i w:val="false"/>
                <w:iCs w:val="false"/>
                <w:sz w:val="19"/>
                <w:szCs w:val="19"/>
              </w:rPr>
              <w:t xml:space="preserve">não conhecimento</w:t>
            </w:r>
            <w:r>
              <w:rPr>
                <w:rFonts w:ascii="Times New Roman" w:cs="Times New Roman" w:eastAsia="Times New Roman" w:hAnsi="Times New Roman"/>
                <w:b w:val="false"/>
                <w:bCs w:val="false"/>
                <w:i w:val="false"/>
                <w:iCs w:val="false"/>
                <w:sz w:val="19"/>
                <w:szCs w:val="19"/>
              </w:rPr>
              <w:t xml:space="preserve"> (Súmulas 5 e 7); AgInt desprovido em 23/09/2024; trânsito 17/10/2024. A frase sobre art. 114 CC é do </w:t>
            </w:r>
            <w:r>
              <w:rPr>
                <w:rFonts w:ascii="Times New Roman" w:cs="Times New Roman" w:eastAsia="Times New Roman" w:hAnsi="Times New Roman"/>
                <w:b/>
                <w:bCs/>
                <w:i w:val="false"/>
                <w:iCs w:val="false"/>
                <w:sz w:val="19"/>
                <w:szCs w:val="19"/>
              </w:rPr>
              <w:t xml:space="preserve">TJDFT</w:t>
            </w:r>
            <w:r>
              <w:rPr>
                <w:rFonts w:ascii="Times New Roman" w:cs="Times New Roman" w:eastAsia="Times New Roman" w:hAnsi="Times New Roman"/>
                <w:b w:val="false"/>
                <w:bCs w:val="false"/>
                <w:i w:val="false"/>
                <w:iCs w:val="false"/>
                <w:sz w:val="19"/>
                <w:szCs w:val="19"/>
              </w:rPr>
              <w:t xml:space="preserve"> transcrito. Citar como "decisão que manteve acórdão do TJDFT" ou retirar</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2123223-58.2020, Rebello Pinho, 20ª CDP, 24/08/2020</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dois gumes</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Existe; frase fiel (item 5.2). Mas a Câmara </w:t>
            </w:r>
            <w:r>
              <w:rPr>
                <w:rFonts w:ascii="Times New Roman" w:cs="Times New Roman" w:eastAsia="Times New Roman" w:hAnsi="Times New Roman"/>
                <w:b/>
                <w:bCs/>
                <w:i w:val="false"/>
                <w:iCs w:val="false"/>
                <w:sz w:val="19"/>
                <w:szCs w:val="19"/>
              </w:rPr>
              <w:t xml:space="preserve">reduziu a conta do credor</w:t>
            </w:r>
            <w:r>
              <w:rPr>
                <w:rFonts w:ascii="Times New Roman" w:cs="Times New Roman" w:eastAsia="Times New Roman" w:hAnsi="Times New Roman"/>
                <w:b w:val="false"/>
                <w:bCs w:val="false"/>
                <w:i w:val="false"/>
                <w:iCs w:val="false"/>
                <w:sz w:val="19"/>
                <w:szCs w:val="19"/>
              </w:rPr>
              <w:t xml:space="preserve">, rejeitou preclusão e condenou o credor em honorários. A contraminuta pode virar o precedente. Manter só com a frase e o contexto explicado, ou substituir</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1.256.633/RS, Noronha, 22/06/2011</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Decisão monocrática</w:t>
            </w:r>
            <w:r>
              <w:rPr>
                <w:rFonts w:ascii="Times New Roman" w:cs="Times New Roman" w:eastAsia="Times New Roman" w:hAnsi="Times New Roman"/>
                <w:b w:val="false"/>
                <w:bCs w:val="false"/>
                <w:i w:val="false"/>
                <w:iCs w:val="false"/>
                <w:sz w:val="19"/>
                <w:szCs w:val="19"/>
              </w:rPr>
              <w:t xml:space="preserve">; título judicial. Indicar "decisão monocrática"</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256.832/CE, Edson Vidigal, DJ 11/09/2000</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5ª Turma, j. 15/08/2000; ementa fiel; título judicial; útil pela fé pública da Contadoria e pela "concordância tácita" da parte que, com vista, silenciou</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1.984.424/SP, Cueva, 3ª T., 23/08/2022</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Fiel; CCB; art. 893 CC e Tema 361/STF. Ver C4</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AREsp 43.936/RJ, Cueva</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Decisão monocrática</w:t>
            </w:r>
            <w:r>
              <w:rPr>
                <w:rFonts w:ascii="Times New Roman" w:cs="Times New Roman" w:eastAsia="Times New Roman" w:hAnsi="Times New Roman"/>
                <w:b w:val="false"/>
                <w:bCs w:val="false"/>
                <w:i w:val="false"/>
                <w:iCs w:val="false"/>
                <w:sz w:val="19"/>
                <w:szCs w:val="19"/>
              </w:rPr>
              <w:t xml:space="preserve"> (06/05/2014, DJe 16/05/2014); o AgRg (3ª T., 10/06/2014) não está na pasta. Frase fiel. Dois gumes: fidelidade ao título judicial</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AREsp 1.122.847/SP, Raul Araújo</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Correto é </w:t>
            </w:r>
            <w:r>
              <w:rPr>
                <w:rFonts w:ascii="Times New Roman" w:cs="Times New Roman" w:eastAsia="Times New Roman" w:hAnsi="Times New Roman"/>
                <w:b/>
                <w:bCs/>
                <w:i w:val="false"/>
                <w:iCs w:val="false"/>
                <w:sz w:val="19"/>
                <w:szCs w:val="19"/>
              </w:rPr>
              <w:t xml:space="preserve">AgInt nos EDcl no AREsp 1.122.847/SP</w:t>
            </w:r>
            <w:r>
              <w:rPr>
                <w:rFonts w:ascii="Times New Roman" w:cs="Times New Roman" w:eastAsia="Times New Roman" w:hAnsi="Times New Roman"/>
                <w:b w:val="false"/>
                <w:bCs w:val="false"/>
                <w:i w:val="false"/>
                <w:iCs w:val="false"/>
                <w:sz w:val="19"/>
                <w:szCs w:val="19"/>
              </w:rPr>
              <w:t xml:space="preserve">, 4ª T., 10/10/2023, DJe 27/10/2023. A frase citada é do AgRg no AREsp 43.936 transcrito. O STJ ali </w:t>
            </w:r>
            <w:r>
              <w:rPr>
                <w:rFonts w:ascii="Times New Roman" w:cs="Times New Roman" w:eastAsia="Times New Roman" w:hAnsi="Times New Roman"/>
                <w:b/>
                <w:bCs/>
                <w:i w:val="false"/>
                <w:iCs w:val="false"/>
                <w:sz w:val="19"/>
                <w:szCs w:val="19"/>
              </w:rPr>
              <w:t xml:space="preserve">expurgou capitalização de laudo homologado</w:t>
            </w:r>
            <w:r>
              <w:rPr>
                <w:rFonts w:ascii="Times New Roman" w:cs="Times New Roman" w:eastAsia="Times New Roman" w:hAnsi="Times New Roman"/>
                <w:b w:val="false"/>
                <w:bCs w:val="false"/>
                <w:i w:val="false"/>
                <w:iCs w:val="false"/>
                <w:sz w:val="19"/>
                <w:szCs w:val="19"/>
              </w:rPr>
              <w:t xml:space="preserve"> por falta de previsão no título judicial: dois gumes</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Súmula 93/STJ, Súmula 596/STF, DL 413/69 art. 5º</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Fiéis. Art. 5º, parágrafo único, limita a mora a +1% a.a. (ver C1)</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Súmula 254/STF</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Sentença omissa quanto a juros; fora de contexto em execução extrajudicial. Substituir por art. 397 CC + art. 5º DL 413</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Súmula 121/STF</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Citada para afastá-la; ok</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508 CPC; art. 337, § 5º</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Ver A3</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509, § 4º</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Analogia</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1.062 CC/16; art. 406 CC</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Corretos. Nota: REsp 1.795.982/SP (Corte Especial, 21/08/2024, DJe 23/10/2024) fixou </w:t>
            </w:r>
            <w:r>
              <w:rPr>
                <w:rFonts w:ascii="Times New Roman" w:cs="Times New Roman" w:eastAsia="Times New Roman" w:hAnsi="Times New Roman"/>
                <w:b/>
                <w:bCs/>
                <w:i w:val="false"/>
                <w:iCs w:val="false"/>
                <w:sz w:val="19"/>
                <w:szCs w:val="19"/>
              </w:rPr>
              <w:t xml:space="preserve">SELIC</w:t>
            </w:r>
            <w:r>
              <w:rPr>
                <w:rFonts w:ascii="Times New Roman" w:cs="Times New Roman" w:eastAsia="Times New Roman" w:hAnsi="Times New Roman"/>
                <w:b w:val="false"/>
                <w:bCs w:val="false"/>
                <w:i w:val="false"/>
                <w:iCs w:val="false"/>
                <w:sz w:val="19"/>
                <w:szCs w:val="19"/>
              </w:rPr>
              <w:t xml:space="preserve"> como taxa do art. 406 na redação anterior à Lei 14.905/24; não suscitar</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"eproc" (preparo)</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 TJSP usa e-SAJ; o preparo foi recolhido em dobro em 28/07/2026 (duas guias). Sem certidão de regularidade no Drive</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AREsp 2.500.976/PR e AgInt no REsp 2.127.021/DF</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Não estão no agravo.</w:t>
            </w:r>
            <w:r>
              <w:rPr>
                <w:rFonts w:ascii="Times New Roman" w:cs="Times New Roman" w:eastAsia="Times New Roman" w:hAnsi="Times New Roman"/>
                <w:b w:val="false"/>
                <w:bCs w:val="false"/>
                <w:i w:val="false"/>
                <w:iCs w:val="false"/>
                <w:sz w:val="19"/>
                <w:szCs w:val="19"/>
              </w:rPr>
              <w:t xml:space="preserve"> Ambos verificados e favoráveis; usar nos memoriais</w:t>
            </w:r>
          </w:p>
        </w:tc>
      </w:tr>
    </w:tbl>
    <w:p>
      <w:pPr>
        <w:spacing w:after="120"/>
      </w:pPr>
    </w:p>
    <w:p>
      <w:pPr>
        <w:pStyle w:val="Heading2"/>
        <w:keepNext/>
      </w:pPr>
      <w:r>
        <w:rPr>
          <w:rFonts w:ascii="Times New Roman" w:cs="Times New Roman" w:eastAsia="Times New Roman" w:hAnsi="Times New Roman"/>
        </w:rPr>
        <w:t xml:space="preserve">D2. Substitutos mais fortes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60"/>
        <w:gridCol w:w="5611"/>
      </w:tblGrid>
      <w:tr>
        <w:trPr>
          <w:cantSplit/>
          <w:tblHeader/>
        </w:trPr>
        <w:tc>
          <w:tcPr>
            <w:tcW w:type="dxa" w:w="346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Citação vulnerável</w:t>
            </w:r>
          </w:p>
        </w:tc>
        <w:tc>
          <w:tcPr>
            <w:tcW w:type="dxa" w:w="561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Substituto (na pasta)</w:t>
            </w:r>
          </w:p>
        </w:tc>
      </w:tr>
      <w:tr>
        <w:trPr>
          <w:cantSplit/>
          <w:tblHeader w:val="false"/>
        </w:trPr>
        <w:tc>
          <w:tcPr>
            <w:tcW w:type="dxa" w:w="34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AREsp 2.569.822/DF (renúncia)</w:t>
            </w:r>
          </w:p>
        </w:tc>
        <w:tc>
          <w:tcPr>
            <w:tcW w:type="dxa" w:w="56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2.018.575/PR (3ª T., Nancy Andrighi, 12/09/2023, DJe 28/09/2023): ato praticado "em cumprimento à decisão jurisdicional (art. 77, IV)" não é aquiescência; "havendo dúvida acerca da anuência (…) prosseguimento do julgamento do recurso"</w:t>
            </w:r>
          </w:p>
        </w:tc>
      </w:tr>
      <w:tr>
        <w:trPr>
          <w:cantSplit/>
          <w:tblHeader w:val="false"/>
        </w:trPr>
        <w:tc>
          <w:tcPr>
            <w:tcW w:type="dxa" w:w="34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2123223-58.2020</w:t>
            </w:r>
          </w:p>
        </w:tc>
        <w:tc>
          <w:tcPr>
            <w:tcW w:type="dxa" w:w="56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2250267-55.2023 (19ª CDP, Tabosa Pessoa, 11/12/2023) e AI 2401202-39.2025 (7ª CDP, Pastorelo Kfouri, 30/04/2026): preclusão de homologação não recorrida, com multa ao devedor</w:t>
            </w:r>
          </w:p>
        </w:tc>
      </w:tr>
      <w:tr>
        <w:trPr>
          <w:cantSplit/>
          <w:tblHeader w:val="false"/>
        </w:trPr>
        <w:tc>
          <w:tcPr>
            <w:tcW w:type="dxa" w:w="34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1.256.633/RS (monocrática)</w:t>
            </w:r>
          </w:p>
        </w:tc>
        <w:tc>
          <w:tcPr>
            <w:tcW w:type="dxa" w:w="56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REsp 2.127.021/DF (3ª T., Humberto Martins, 19/08/2024): execução de título extrajudicial; conta da Contadoria homologada; critério ≠ erro material</w:t>
            </w:r>
          </w:p>
        </w:tc>
      </w:tr>
      <w:tr>
        <w:trPr>
          <w:cantSplit/>
          <w:tblHeader w:val="false"/>
        </w:trPr>
        <w:tc>
          <w:tcPr>
            <w:tcW w:type="dxa" w:w="34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AREsp 43.936 / 1.122.847 (dois gumes)</w:t>
            </w:r>
          </w:p>
        </w:tc>
        <w:tc>
          <w:tcPr>
            <w:tcW w:type="dxa" w:w="56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EDcl no REsp 1.229.406/SP (1ª T., 16/02/2012) + EREsp 1.229.406/SP (Noronha, 05/08/2014): conta homologada não se revê para expurgar anatocismo, "independentemente do acerto ou desacerto dos critérios"</w:t>
            </w:r>
          </w:p>
        </w:tc>
      </w:tr>
      <w:tr>
        <w:trPr>
          <w:cantSplit/>
          <w:tblHeader w:val="false"/>
        </w:trPr>
        <w:tc>
          <w:tcPr>
            <w:tcW w:type="dxa" w:w="34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Súmula 254/STF</w:t>
            </w:r>
          </w:p>
        </w:tc>
        <w:tc>
          <w:tcPr>
            <w:tcW w:type="dxa" w:w="56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AREsp 2.500.976/PR (4ª T., Noronha, 10/03/2026, DJEN 12/03/2026): concordância com conta homologada em execução extrajudicial bancária gera preclusão lógica</w:t>
            </w:r>
          </w:p>
        </w:tc>
      </w:tr>
    </w:tbl>
    <w:p>
      <w:pPr>
        <w:spacing w:after="120"/>
      </w:pP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BLOCO E — COERÊNCIA DA 13ª CDP / RELATORA</w:t>
      </w:r>
    </w:p>
    <w:p>
      <w:pPr>
        <w:pStyle w:val="Heading2"/>
        <w:keepNext/>
      </w:pPr>
      <w:r>
        <w:rPr>
          <w:rFonts w:ascii="Times New Roman" w:cs="Times New Roman" w:eastAsia="Times New Roman" w:hAnsi="Times New Roman"/>
        </w:rPr>
        <w:t xml:space="preserve">E1. Os três acórdãos</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AI 2236655-84.2022</w:t>
      </w:r>
      <w:r>
        <w:rPr>
          <w:rFonts w:ascii="Times New Roman" w:cs="Times New Roman" w:eastAsia="Times New Roman" w:hAnsi="Times New Roman"/>
          <w:b w:val="false"/>
          <w:bCs w:val="false"/>
          <w:i w:val="false"/>
          <w:iCs w:val="false"/>
        </w:rPr>
        <w:t xml:space="preserve"> (j. 05/12/2022, v.u., com Heraldo de Oliveira e Francisco Giaquinto; Registro 2022.0000998636): só avaliação; "a mera discrepância entre avaliações não autoriza, por si só, a realização de uma nova avaliação". Certidão de encaminhamento ao arquivo com "comunicação do trânsito em julgado": fls. 1931 e-SAJ (CP 394), datada de </w:t>
      </w:r>
      <w:r>
        <w:rPr>
          <w:rFonts w:ascii="Times New Roman" w:cs="Times New Roman" w:eastAsia="Times New Roman" w:hAnsi="Times New Roman"/>
          <w:b/>
          <w:bCs/>
          <w:i w:val="false"/>
          <w:iCs w:val="false"/>
        </w:rPr>
        <w:t xml:space="preserve">29/02/2024</w:t>
      </w:r>
      <w:r>
        <w:rPr>
          <w:rFonts w:ascii="Times New Roman" w:cs="Times New Roman" w:eastAsia="Times New Roman" w:hAnsi="Times New Roman"/>
          <w:b w:val="false"/>
          <w:bCs w:val="false"/>
          <w:i w:val="false"/>
          <w:iCs w:val="false"/>
        </w:rPr>
        <w:t xml:space="preserve"> (a data do trânsito não consta). REsp do executado inadmitido pela Presidência da Seção (fls. 1757/1759 e-SAJ, Des. Beretta da Silveira, 05/05/2023, Súmula 7).</w:t>
      </w:r>
    </w:p>
    <w:p>
      <w:pPr>
        <w:spacing w:after="120" w:line="360"/>
        <w:jc w:val="both"/>
      </w:pPr>
      <w:r>
        <w:rPr>
          <w:rFonts w:ascii="Times New Roman" w:cs="Times New Roman" w:eastAsia="Times New Roman" w:hAnsi="Times New Roman"/>
          <w:b/>
          <w:bCs/>
          <w:i w:val="false"/>
          <w:iCs w:val="false"/>
        </w:rPr>
        <w:t xml:space="preserve">AI 2236642-80.2025</w:t>
      </w:r>
      <w:r>
        <w:rPr>
          <w:rFonts w:ascii="Times New Roman" w:cs="Times New Roman" w:eastAsia="Times New Roman" w:hAnsi="Times New Roman"/>
          <w:b w:val="false"/>
          <w:bCs w:val="false"/>
          <w:i w:val="false"/>
          <w:iCs w:val="false"/>
        </w:rPr>
        <w:t xml:space="preserve"> (j. 07/10/2025, v.u., Simões de Almeida, Giaquinto, Nelson Jorge Júnior; Registro 2025.0001067531): trechos úteis: "a única tese ali deduzida"; "indevida inovação"; "supressão de um grau de jurisdição"; "mantida, no mais". Contra: "o percentual de 9% do valor da execução se mostra excessivo, considerando-se o expressivo valor executado (fls. 3.055)" (R$ 4 milhões já era "expressivo"); e o acórdão </w:t>
      </w:r>
      <w:r>
        <w:rPr>
          <w:rFonts w:ascii="Times New Roman" w:cs="Times New Roman" w:eastAsia="Times New Roman" w:hAnsi="Times New Roman"/>
          <w:b/>
          <w:bCs/>
          <w:i w:val="false"/>
          <w:iCs w:val="false"/>
        </w:rPr>
        <w:t xml:space="preserve">não</w:t>
      </w:r>
      <w:r>
        <w:rPr>
          <w:rFonts w:ascii="Times New Roman" w:cs="Times New Roman" w:eastAsia="Times New Roman" w:hAnsi="Times New Roman"/>
          <w:b w:val="false"/>
          <w:bCs w:val="false"/>
          <w:i w:val="false"/>
          <w:iCs w:val="false"/>
        </w:rPr>
        <w:t xml:space="preserve"> julgou o mérito de multa/honorários, deixando-o "em aberto" para o executado dizer.</w:t>
      </w:r>
    </w:p>
    <w:p>
      <w:pPr>
        <w:spacing w:after="120" w:line="360"/>
        <w:jc w:val="both"/>
      </w:pPr>
      <w:r>
        <w:rPr>
          <w:rFonts w:ascii="Times New Roman" w:cs="Times New Roman" w:eastAsia="Times New Roman" w:hAnsi="Times New Roman"/>
          <w:b/>
          <w:bCs/>
          <w:i w:val="false"/>
          <w:iCs w:val="false"/>
        </w:rPr>
        <w:t xml:space="preserve">AI 2353386-61.2025</w:t>
      </w:r>
      <w:r>
        <w:rPr>
          <w:rFonts w:ascii="Times New Roman" w:cs="Times New Roman" w:eastAsia="Times New Roman" w:hAnsi="Times New Roman"/>
          <w:b w:val="false"/>
          <w:bCs w:val="false"/>
          <w:i w:val="false"/>
          <w:iCs w:val="false"/>
        </w:rPr>
        <w:t xml:space="preserve"> (j. 04/03/2026, v.u., Heraldo de Oliveira e Giaquinto; Registro 2026.0000169763; fls. 3395/3403 e-SAJ): a Relatora adota a decisão de 1º grau ("As conclusões a que chega são exatamente as mesmas"), que diz: "A decisão de homologação (…) irrecorrível em seu mérito após o julgamento do agravo, encontra-se sob o manto da </w:t>
      </w:r>
      <w:r>
        <w:rPr>
          <w:rFonts w:ascii="Times New Roman" w:cs="Times New Roman" w:eastAsia="Times New Roman" w:hAnsi="Times New Roman"/>
          <w:b/>
          <w:bCs/>
          <w:i w:val="false"/>
          <w:iCs w:val="false"/>
        </w:rPr>
        <w:t xml:space="preserve">preclusão pro iudicato</w:t>
      </w:r>
      <w:r>
        <w:rPr>
          <w:rFonts w:ascii="Times New Roman" w:cs="Times New Roman" w:eastAsia="Times New Roman" w:hAnsi="Times New Roman"/>
          <w:b w:val="false"/>
          <w:bCs w:val="false"/>
          <w:i w:val="false"/>
          <w:iCs w:val="false"/>
        </w:rPr>
        <w:t xml:space="preserve">, não havendo espaço, neste momento de conclusão dos atos expropriatórios, para a reanálise de matéria já resolvida"; "a adoção de nova avaliação implicaria um </w:t>
      </w:r>
      <w:r>
        <w:rPr>
          <w:rFonts w:ascii="Times New Roman" w:cs="Times New Roman" w:eastAsia="Times New Roman" w:hAnsi="Times New Roman"/>
          <w:b/>
          <w:bCs/>
          <w:i w:val="false"/>
          <w:iCs w:val="false"/>
        </w:rPr>
        <w:t xml:space="preserve">retrocesso indevido</w:t>
      </w:r>
      <w:r>
        <w:rPr>
          <w:rFonts w:ascii="Times New Roman" w:cs="Times New Roman" w:eastAsia="Times New Roman" w:hAnsi="Times New Roman"/>
          <w:b w:val="false"/>
          <w:bCs w:val="false"/>
          <w:i w:val="false"/>
          <w:iCs w:val="false"/>
        </w:rPr>
        <w:t xml:space="preserve">, protelando injustificadamente o desfecho de um processo que caminha para quatro décadas"; "padrão de deslealdade processual". A expressão "</w:t>
      </w:r>
      <w:r>
        <w:rPr>
          <w:rFonts w:ascii="Times New Roman" w:cs="Times New Roman" w:eastAsia="Times New Roman" w:hAnsi="Times New Roman"/>
          <w:b/>
          <w:bCs/>
          <w:i w:val="false"/>
          <w:iCs w:val="false"/>
        </w:rPr>
        <w:t xml:space="preserve">devedor contumaz</w:t>
      </w:r>
      <w:r>
        <w:rPr>
          <w:rFonts w:ascii="Times New Roman" w:cs="Times New Roman" w:eastAsia="Times New Roman" w:hAnsi="Times New Roman"/>
          <w:b w:val="false"/>
          <w:bCs w:val="false"/>
          <w:i w:val="false"/>
          <w:iCs w:val="false"/>
        </w:rPr>
        <w:t xml:space="preserve">" é da decisão de Chavantes de 14/03/2024 (fls. 1932: "esgotando, assim, todos os recursos cabíveis em favor do devedor contumaz"), não do acórdão. 🟨 A última página do acórdão (multa de 5%) falta no arquivo.</w:t>
      </w:r>
    </w:p>
    <w:p>
      <w:pPr>
        <w:spacing w:after="120" w:line="360"/>
        <w:jc w:val="both"/>
      </w:pPr>
      <w:r>
        <w:rPr>
          <w:rFonts w:ascii="Times New Roman" w:cs="Times New Roman" w:eastAsia="Times New Roman" w:hAnsi="Times New Roman"/>
          <w:b w:val="false"/>
          <w:bCs w:val="false"/>
          <w:i w:val="false"/>
          <w:iCs w:val="false"/>
        </w:rPr>
        <w:t xml:space="preserve">Uso nos memoriais (art. 926): "A mesma Câmara que, há seis meses, disse que reabrir a avaliação homologada seria 'retrocesso indevido' sob 'o manto da preclusão pro iudicato', não pode admitir que se reabra, de ofício, a conta homologada trinta anos antes." Contra-uso pelo executado: a preclusão da avaliação foi reconhecida </w:t>
      </w:r>
      <w:r>
        <w:rPr>
          <w:rFonts w:ascii="Times New Roman" w:cs="Times New Roman" w:eastAsia="Times New Roman" w:hAnsi="Times New Roman"/>
          <w:b/>
          <w:bCs/>
          <w:i w:val="false"/>
          <w:iCs w:val="false"/>
        </w:rPr>
        <w:t xml:space="preserve">contra o devedor</w:t>
      </w:r>
      <w:r>
        <w:rPr>
          <w:rFonts w:ascii="Times New Roman" w:cs="Times New Roman" w:eastAsia="Times New Roman" w:hAnsi="Times New Roman"/>
          <w:b w:val="false"/>
          <w:bCs w:val="false"/>
          <w:i w:val="false"/>
          <w:iCs w:val="false"/>
        </w:rPr>
        <w:t xml:space="preserve">; ele dirá que preclusão vale para os dois lados (fls. 3066 não agravada pelos exequentes). É o risco central; responder com A2 e F1.</w:t>
      </w:r>
    </w:p>
    <w:p>
      <w:pPr>
        <w:pStyle w:val="Heading2"/>
        <w:keepNext/>
      </w:pPr>
      <w:r>
        <w:rPr>
          <w:rFonts w:ascii="Times New Roman" w:cs="Times New Roman" w:eastAsia="Times New Roman" w:hAnsi="Times New Roman"/>
        </w:rPr>
        <w:t xml:space="preserve">E2. Apelação 0017993-79.2012</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Lida (15 de 15 páginas).</w:t>
      </w:r>
      <w:r>
        <w:rPr>
          <w:rFonts w:ascii="Times New Roman" w:cs="Times New Roman" w:eastAsia="Times New Roman" w:hAnsi="Times New Roman"/>
          <w:b w:val="false"/>
          <w:bCs w:val="false"/>
          <w:i w:val="false"/>
          <w:iCs w:val="false"/>
        </w:rPr>
        <w:t xml:space="preserve"> TJSP, 13ª Câmara de Direito Privado, Rel. Des. Ana de Lourdes Coutinho Silva da Fonseca, com Heraldo de Oliveira e Francisco Giaquinto, j. 23/11/2016, v.u., Registro 2016.0000860543. Apelante: Janne (Jane) Mendes Rennó, embargante de terceiro, ex-cônjuge do executado; apelados: os três Rosini. Resultado: recurso desprovido, embargos improcedentes. A frase existe (p. 11): "em decorrência do longo período decorrido desde então, faz-se necessária a reavaliação dos valores, tanto do débito, quanto do imóvel penhorado, tal como determinado pelo douto magistrado sentenciante, de maneira que, apenas após as reavaliações, será cabível eventual alegação de excesso de penhora, nos termos do artigo 874, inciso I, do CPC/15 (art. 685, I, do CPC/73)."</w:t>
      </w:r>
    </w:p>
    <w:p>
      <w:pPr>
        <w:spacing w:after="120" w:line="360"/>
        <w:jc w:val="both"/>
      </w:pPr>
      <w:r>
        <w:rPr>
          <w:rFonts w:ascii="Times New Roman" w:cs="Times New Roman" w:eastAsia="Times New Roman" w:hAnsi="Times New Roman"/>
          <w:b/>
          <w:bCs/>
          <w:i w:val="false"/>
          <w:iCs w:val="false"/>
        </w:rPr>
        <w:t xml:space="preserve">Enquadramento:</w:t>
      </w:r>
      <w:r>
        <w:rPr>
          <w:rFonts w:ascii="Times New Roman" w:cs="Times New Roman" w:eastAsia="Times New Roman" w:hAnsi="Times New Roman"/>
          <w:b w:val="false"/>
          <w:bCs w:val="false"/>
          <w:i w:val="false"/>
          <w:iCs w:val="false"/>
        </w:rPr>
        <w:t xml:space="preserve"> "reavaliação do débito" ali significa </w:t>
      </w:r>
      <w:r>
        <w:rPr>
          <w:rFonts w:ascii="Times New Roman" w:cs="Times New Roman" w:eastAsia="Times New Roman" w:hAnsi="Times New Roman"/>
          <w:b/>
          <w:bCs/>
          <w:i w:val="false"/>
          <w:iCs w:val="false"/>
        </w:rPr>
        <w:t xml:space="preserve">atualização do valor pelo decurso do tempo</w:t>
      </w:r>
      <w:r>
        <w:rPr>
          <w:rFonts w:ascii="Times New Roman" w:cs="Times New Roman" w:eastAsia="Times New Roman" w:hAnsi="Times New Roman"/>
          <w:b w:val="false"/>
          <w:bCs w:val="false"/>
          <w:i w:val="false"/>
          <w:iCs w:val="false"/>
        </w:rPr>
        <w:t xml:space="preserve"> (as praças estavam suspensas desde 2012), para aferir excesso de </w:t>
      </w:r>
      <w:r>
        <w:rPr>
          <w:rFonts w:ascii="Times New Roman" w:cs="Times New Roman" w:eastAsia="Times New Roman" w:hAnsi="Times New Roman"/>
          <w:b/>
          <w:bCs/>
          <w:i w:val="false"/>
          <w:iCs w:val="false"/>
        </w:rPr>
        <w:t xml:space="preserve">penhora</w:t>
      </w:r>
      <w:r>
        <w:rPr>
          <w:rFonts w:ascii="Times New Roman" w:cs="Times New Roman" w:eastAsia="Times New Roman" w:hAnsi="Times New Roman"/>
          <w:b w:val="false"/>
          <w:bCs w:val="false"/>
          <w:i w:val="false"/>
          <w:iCs w:val="false"/>
        </w:rPr>
        <w:t xml:space="preserve"> (art. 874, I), não revisão dos critérios da conta homologada. O acórdão não trata de conta da Contadoria nem de recálculo desde 1987. O executado poderá citá-lo como "autorização da Câmara para recalcular o débito"; a resposta é a distinção acima. A favor dos exequentes, o mesmo acórdão transcreve a sentença: "Trata-se de matéria decidida sobre a qual se operou a preclusão e que não pode ser renovada" (p. 5), e cita Araken de Assis: "Não se deve confundir excesso de penhora com excesso de execução" (p. 14).</w:t>
      </w:r>
    </w:p>
    <w:p>
      <w:pPr>
        <w:spacing w:after="120" w:line="360"/>
        <w:jc w:val="both"/>
      </w:pPr>
      <w:r>
        <w:rPr>
          <w:rFonts w:ascii="Times New Roman" w:cs="Times New Roman" w:eastAsia="Times New Roman" w:hAnsi="Times New Roman"/>
          <w:b/>
          <w:bCs/>
          <w:i w:val="false"/>
          <w:iCs w:val="false"/>
        </w:rPr>
        <w:t xml:space="preserve">O que fazer nos memoriais:</w:t>
      </w:r>
      <w:r>
        <w:rPr>
          <w:rFonts w:ascii="Times New Roman" w:cs="Times New Roman" w:eastAsia="Times New Roman" w:hAnsi="Times New Roman"/>
          <w:b w:val="false"/>
          <w:bCs w:val="false"/>
          <w:i w:val="false"/>
          <w:iCs w:val="false"/>
        </w:rPr>
        <w:t xml:space="preserve"> citar a Apelação 0017993-79.2012 como quarto precedente da própria Relatora neste processo, pela dupla razão: preclusão de matéria decidida e distinção entre atualizar o débito (art. 874) e reabrir sua base.</w:t>
      </w:r>
    </w:p>
    <w:p>
      <w:pPr>
        <w:pStyle w:val="Heading1"/>
        <w:keepNext/>
      </w:pPr>
      <w:r>
        <w:rPr>
          <w:rFonts w:ascii="Times New Roman" w:cs="Times New Roman" w:eastAsia="Times New Roman" w:hAnsi="Times New Roman"/>
        </w:rPr>
        <w:t xml:space="preserve">BLOCO F — CUMPRIR ORDEM NÃO É AQUIESCER; VENIRE</w:t>
      </w:r>
    </w:p>
    <w:p>
      <w:pPr>
        <w:pStyle w:val="Heading2"/>
        <w:keepNext/>
      </w:pPr>
      <w:r>
        <w:rPr>
          <w:rFonts w:ascii="Times New Roman" w:cs="Times New Roman" w:eastAsia="Times New Roman" w:hAnsi="Times New Roman"/>
        </w:rPr>
        <w:t xml:space="preserve">F1. Parágrafo-base</w:t>
      </w:r>
    </w:p>
    <w:p>
      <w:pPr>
        <w:spacing w:after="120" w:line="360"/>
        <w:jc w:val="both"/>
      </w:pPr>
      <w:r>
        <w:rPr>
          <w:rFonts w:ascii="Times New Roman" w:cs="Times New Roman" w:eastAsia="Times New Roman" w:hAnsi="Times New Roman"/>
          <w:b w:val="false"/>
          <w:bCs w:val="false"/>
          <w:i w:val="false"/>
          <w:iCs w:val="false"/>
        </w:rPr>
        <w:t xml:space="preserve">🟩 Precedentes conferidos: REsp 2.018.575/PR (3ª T., Nancy Andrighi, 12/09/2023, DJe 28/09/2023); EDcl no REsp 2.178.097/RS (4ª T., Raul Araújo, sessão 19-25/05/2026, DJEN 01/06/2026): "A baixa administrativa do gravame fiduciário, realizada sob o império de determinação judicial e cominação de multa, não importa aquiescência com a decisão recorrida"; REsp 1.655.655/SP (3ª T., Cueva, 25/06/2019, DJe 01/07/2019): "a aceitação tácita deve ser inequívoca"; "na dúvida, deve-se em qualquer hipótese considerar excluída a aquiescência tácita". 🟨 AgInt no AREsp 1.851.737/DF, AI 2181564-67.2026 e AI 2297076-69.2024: não estão na pasta; não citar até conferir.</w:t>
      </w:r>
    </w:p>
    <w:p>
      <w:pPr>
        <w:spacing w:after="120" w:line="360"/>
        <w:jc w:val="both"/>
      </w:pPr>
      <w:r>
        <w:rPr>
          <w:rFonts w:ascii="Times New Roman" w:cs="Times New Roman" w:eastAsia="Times New Roman" w:hAnsi="Times New Roman"/>
          <w:b w:val="false"/>
          <w:bCs w:val="false"/>
          <w:i w:val="false"/>
          <w:iCs w:val="false"/>
        </w:rPr>
        <w:t xml:space="preserve">Parágrafo-base:</w:t>
      </w:r>
    </w:p>
    <w:p>
      <w:pPr>
        <w:pBdr>
          <w:left w:val="single" w:color="C9A227" w:sz="18" w:space="8"/>
        </w:pBdr>
        <w:shd w:fill="FFF8E1" w:color="auto" w:val="clear"/>
        <w:spacing w:after="80" w:line="300"/>
        <w:ind w:left="567" w:right="283"/>
        <w:jc w:val="both"/>
      </w:pPr>
      <w:r>
        <w:rPr>
          <w:rFonts w:ascii="Times New Roman" w:cs="Times New Roman" w:eastAsia="Times New Roman" w:hAnsi="Times New Roman"/>
          <w:b w:val="false"/>
          <w:bCs w:val="false"/>
          <w:i w:val="false"/>
          <w:iCs w:val="false"/>
          <w:sz w:val="22"/>
          <w:szCs w:val="22"/>
        </w:rPr>
        <w:t xml:space="preserve">"As planilhas de fls. 1947/1948 (CP 410/411) e 3077/3078 foram apresentadas em cumprimento de ordens judiciais expressas (decisão de 14/03/2024, fls. 1932: 'tal diligência incumbe ao exequente, que ora se determina'; decisão de fls. 3066, item 2, com prazo de dez dias), sob a advertência de que a execução só prosseguiria com o cálculo. O art. 1.000, parágrafo único, do CPC exige, para a aceitação tácita, ato praticado 'sem nenhuma reserva' e 'incompatível com a vontade de recorrer'; o art. 520, § 3º, e o art. 77, IV, mostram que o cumprimento de decisão judicial é dever, não adesão. O STJ afasta a preclusão lógica quando o ato é praticado 'em cumprimento à decisão jurisdicional (art. 77, IV, do CPC/2015)', pois 'não representa conduta espontânea reveladora da aquiescência tácita inequívoca' (REsp 2.018.575/PR, 3ª T., Rel. Min. Nancy Andrighi, j. 12/09/2023), e reafirma que ato praticado 'sob o império de determinação judicial e cominação de multa não importa aquiescência' (EDcl no REsp 2.178.097/RS, 4ª T., Rel. Min. Raul Araújo, j. 25/05/2026); 'na dúvida, deve-se em qualquer hipótese considerar excluída a aquiescência tácita' (REsp 1.655.655/SP, 3ª T., Rel. Min. Villas Bôas Cueva, j. 25/06/2019)."</w:t>
      </w:r>
    </w:p>
    <w:p>
      <w:pPr>
        <w:spacing w:after="120"/>
      </w:pPr>
    </w:p>
    <w:p>
      <w:pPr>
        <w:spacing w:after="120" w:line="360"/>
        <w:jc w:val="both"/>
      </w:pPr>
      <w:r>
        <w:rPr>
          <w:rFonts w:ascii="Times New Roman" w:cs="Times New Roman" w:eastAsia="Times New Roman" w:hAnsi="Times New Roman"/>
          <w:b w:val="false"/>
          <w:bCs w:val="false"/>
          <w:i w:val="false"/>
          <w:iCs w:val="false"/>
        </w:rPr>
        <w:t xml:space="preserve">Contra: AgInt no REsp 1.476.534/CE ("valores incontroversos, sem ressalva alguma") e AgInt no AREsp 2.500.976/PR ("concordância expressa com a conta homologada"). Distinção: em ambos a parte apresentou valores </w:t>
      </w:r>
      <w:r>
        <w:rPr>
          <w:rFonts w:ascii="Times New Roman" w:cs="Times New Roman" w:eastAsia="Times New Roman" w:hAnsi="Times New Roman"/>
          <w:b/>
          <w:bCs/>
          <w:i w:val="false"/>
          <w:iCs w:val="false"/>
        </w:rPr>
        <w:t xml:space="preserve">espontaneamente</w:t>
      </w:r>
      <w:r>
        <w:rPr>
          <w:rFonts w:ascii="Times New Roman" w:cs="Times New Roman" w:eastAsia="Times New Roman" w:hAnsi="Times New Roman"/>
          <w:b w:val="false"/>
          <w:bCs w:val="false"/>
          <w:i w:val="false"/>
          <w:iCs w:val="false"/>
        </w:rPr>
        <w:t xml:space="preserve"> ou </w:t>
      </w:r>
      <w:r>
        <w:rPr>
          <w:rFonts w:ascii="Times New Roman" w:cs="Times New Roman" w:eastAsia="Times New Roman" w:hAnsi="Times New Roman"/>
          <w:b/>
          <w:bCs/>
          <w:i w:val="false"/>
          <w:iCs w:val="false"/>
        </w:rPr>
        <w:t xml:space="preserve">concordou expressamente</w:t>
      </w:r>
      <w:r>
        <w:rPr>
          <w:rFonts w:ascii="Times New Roman" w:cs="Times New Roman" w:eastAsia="Times New Roman" w:hAnsi="Times New Roman"/>
          <w:b w:val="false"/>
          <w:bCs w:val="false"/>
          <w:i w:val="false"/>
          <w:iCs w:val="false"/>
        </w:rPr>
        <w:t xml:space="preserve">; aqui houve ordem com prazo.</w:t>
      </w:r>
    </w:p>
    <w:p>
      <w:pPr>
        <w:pStyle w:val="Heading2"/>
        <w:keepNext/>
      </w:pPr>
      <w:r>
        <w:rPr>
          <w:rFonts w:ascii="Times New Roman" w:cs="Times New Roman" w:eastAsia="Times New Roman" w:hAnsi="Times New Roman"/>
        </w:rPr>
        <w:t xml:space="preserve">F2. Venire: as planilhas desde 1987</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Este é o ponto mais perigoso do caso, e a premissa do prompt está errada.</w:t>
      </w:r>
      <w:r>
        <w:rPr>
          <w:rFonts w:ascii="Times New Roman" w:cs="Times New Roman" w:eastAsia="Times New Roman" w:hAnsi="Times New Roman"/>
          <w:b w:val="false"/>
          <w:bCs w:val="false"/>
          <w:i w:val="false"/>
          <w:iCs w:val="false"/>
        </w:rPr>
        <w:t xml:space="preserve"> Não é verdade que "a base dos exequentes sempre foi a conta de fls. 203". As planilhas lidas, </w:t>
      </w:r>
      <w:r>
        <w:rPr>
          <w:rFonts w:ascii="Times New Roman" w:cs="Times New Roman" w:eastAsia="Times New Roman" w:hAnsi="Times New Roman"/>
          <w:b/>
          <w:bCs/>
          <w:i w:val="false"/>
          <w:iCs w:val="false"/>
        </w:rPr>
        <w:t xml:space="preserve">todas</w:t>
      </w:r>
      <w:r>
        <w:rPr>
          <w:rFonts w:ascii="Times New Roman" w:cs="Times New Roman" w:eastAsia="Times New Roman" w:hAnsi="Times New Roman"/>
          <w:b w:val="false"/>
          <w:bCs w:val="false"/>
          <w:i w:val="false"/>
          <w:iCs w:val="false"/>
        </w:rPr>
        <w:t xml:space="preserve">, partem de Cz$ 1.210.000,00 em maio/1987: Santander 12/09/2007 (fls. 2137/2139), que declarou: "inobstante a existência de decisão homologada nos autos principais (…) para evitar quaisquer tipos de discussões quanto ao valor do débito, </w:t>
      </w:r>
      <w:r>
        <w:rPr>
          <w:rFonts w:ascii="Times New Roman" w:cs="Times New Roman" w:eastAsia="Times New Roman" w:hAnsi="Times New Roman"/>
          <w:b/>
          <w:bCs/>
          <w:i w:val="false"/>
          <w:iCs w:val="false"/>
        </w:rPr>
        <w:t xml:space="preserve">por mera liberalidade, optou o credor</w:t>
      </w:r>
      <w:r>
        <w:rPr>
          <w:rFonts w:ascii="Times New Roman" w:cs="Times New Roman" w:eastAsia="Times New Roman" w:hAnsi="Times New Roman"/>
          <w:b w:val="false"/>
          <w:bCs w:val="false"/>
          <w:i w:val="false"/>
          <w:iCs w:val="false"/>
        </w:rPr>
        <w:t xml:space="preserve"> por apresentar (…) Valor do título Cz$ 1.210.000,00, corrigido monetariamente, acrescido de juros de 12% a.a., juros moratórios de 1% a.a., calculados de forma simples, multa contratual de 10% (…) e honorários advocatícios fixados nos Embargos à Execução no importe de 20% (…) R$ 859.100,93"; Santander 10/07/2009 (fls. 2402/2403); cessionários 25/10/2019 (fls. 2885), 19/04/2024 (fls. 1948), 04/06/2025 (fls. 3078). As de 18/03/2024 e 14/05/2025 partem do total anterior. A única invocação da base de 1995 antes de 2026 é a resposta à exceção de 16/09/2024 (fls. 1538: "a partir dos valores constantes da homologação judicial de fls. 203"), sem planilha correspondente. A decisão de fls. 3041 registra isso: "Após, não houve apresentação de nova conta de atualização do débito com homologação deste Juízo."</w:t>
      </w:r>
    </w:p>
    <w:p>
      <w:pPr>
        <w:spacing w:after="120" w:line="360"/>
        <w:jc w:val="both"/>
      </w:pPr>
      <w:r>
        <w:rPr>
          <w:rFonts w:ascii="Times New Roman" w:cs="Times New Roman" w:eastAsia="Times New Roman" w:hAnsi="Times New Roman"/>
          <w:b w:val="false"/>
          <w:bCs w:val="false"/>
          <w:i w:val="false"/>
          <w:iCs w:val="false"/>
        </w:rPr>
        <w:t xml:space="preserve">O executado dirá: por dezenove anos (2007-2026) o credor e seus cessionários calcularam desde 1987; a cessão foi por R$ 200 mil quando o próprio Santander dizia dever R$ 859 mil a R$ 1 milhão; invocar R$ 185 milhões em 2026 é </w:t>
      </w:r>
      <w:r>
        <w:rPr>
          <w:rFonts w:ascii="Times New Roman" w:cs="Times New Roman" w:eastAsia="Times New Roman" w:hAnsi="Times New Roman"/>
          <w:b w:val="false"/>
          <w:bCs w:val="false"/>
          <w:i/>
          <w:iCs/>
        </w:rPr>
        <w:t xml:space="preserve">venire contra factum proprium</w:t>
      </w:r>
      <w:r>
        <w:rPr>
          <w:rFonts w:ascii="Times New Roman" w:cs="Times New Roman" w:eastAsia="Times New Roman" w:hAnsi="Times New Roman"/>
          <w:b w:val="false"/>
          <w:bCs w:val="false"/>
          <w:i w:val="false"/>
          <w:iCs w:val="false"/>
        </w:rPr>
        <w:t xml:space="preserve"> e </w:t>
      </w:r>
      <w:r>
        <w:rPr>
          <w:rFonts w:ascii="Times New Roman" w:cs="Times New Roman" w:eastAsia="Times New Roman" w:hAnsi="Times New Roman"/>
          <w:b w:val="false"/>
          <w:bCs w:val="false"/>
          <w:i/>
          <w:iCs/>
        </w:rPr>
        <w:t xml:space="preserve">supressio</w:t>
      </w:r>
      <w:r>
        <w:rPr>
          <w:rFonts w:ascii="Times New Roman" w:cs="Times New Roman" w:eastAsia="Times New Roman" w:hAnsi="Times New Roman"/>
          <w:b w:val="false"/>
          <w:bCs w:val="false"/>
          <w:i w:val="false"/>
          <w:iCs w:val="false"/>
        </w:rPr>
        <w:t xml:space="preserve">.</w:t>
      </w:r>
    </w:p>
    <w:p>
      <w:pPr>
        <w:spacing w:after="120" w:line="360"/>
        <w:jc w:val="both"/>
      </w:pPr>
      <w:r>
        <w:rPr>
          <w:rFonts w:ascii="Times New Roman" w:cs="Times New Roman" w:eastAsia="Times New Roman" w:hAnsi="Times New Roman"/>
          <w:b w:val="false"/>
          <w:bCs w:val="false"/>
          <w:i w:val="false"/>
          <w:iCs w:val="false"/>
        </w:rPr>
        <w:t xml:space="preserve">Resposta possível (não perfeita): (a) "mera liberalidade" do cedente é exatamente o que diz o Santander: renúncia parcial, não desconstituição da homologação; renúncia interpreta-se estritamente (art. 114 CC) e não foi homologada (art. 487, III, "c"); (b) a cessão transferiu "o crédito descrito e caracterizado na cláusula primeira e respectivos acessórios" (cláusula 2ª), sem limitar ao valor das planilhas; (c) nenhuma dessas planilhas foi homologada; a única homologação é a de 1995 (fls. 3041 do próprio juízo); (d) o executado também se comportou de forma contraditória: em 2024 admitiu os 20% e o trânsito dos embargos, e agora nega. </w:t>
      </w:r>
      <w:r>
        <w:rPr>
          <w:rFonts w:ascii="Times New Roman" w:cs="Times New Roman" w:eastAsia="Times New Roman" w:hAnsi="Times New Roman"/>
          <w:b/>
          <w:bCs/>
          <w:i w:val="false"/>
          <w:iCs w:val="false"/>
        </w:rPr>
        <w:t xml:space="preserve">Mas</w:t>
      </w:r>
      <w:r>
        <w:rPr>
          <w:rFonts w:ascii="Times New Roman" w:cs="Times New Roman" w:eastAsia="Times New Roman" w:hAnsi="Times New Roman"/>
          <w:b w:val="false"/>
          <w:bCs w:val="false"/>
          <w:i w:val="false"/>
          <w:iCs w:val="false"/>
        </w:rPr>
        <w:t xml:space="preserve"> a Câmara pode entender que a apresentação reiterada de planilhas desde 1987, sem ressalva, por 19 anos, configura preclusão lógica (AgInt no REsp 1.476.534/CE) ou renúncia tácita ao excedente. Os memoriais precisam enfrentar isso de frente; ignorar é o pior caminho.</w:t>
      </w:r>
    </w:p>
    <w:p>
      <w:pPr>
        <w:spacing w:after="120" w:line="360"/>
        <w:jc w:val="both"/>
      </w:pPr>
      <w:r>
        <w:rPr>
          <w:rFonts w:ascii="Times New Roman" w:cs="Times New Roman" w:eastAsia="Times New Roman" w:hAnsi="Times New Roman"/>
          <w:b/>
          <w:bCs/>
          <w:i w:val="false"/>
          <w:iCs w:val="false"/>
        </w:rPr>
        <w:t xml:space="preserve">Julgados novos (v3).</w:t>
      </w:r>
    </w:p>
    <w:p>
      <w:pPr>
        <w:pStyle w:val="ListParagraph"/>
        <w:numPr>
          <w:ilvl w:val="0"/>
          <w:numId w:val="2"/>
        </w:numPr>
        <w:spacing w:after="80" w:line="34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Contra, a distinguir: TJSP AI 2297076-69.2024</w:t>
      </w:r>
      <w:r>
        <w:rPr>
          <w:rFonts w:ascii="Times New Roman" w:cs="Times New Roman" w:eastAsia="Times New Roman" w:hAnsi="Times New Roman"/>
          <w:b w:val="false"/>
          <w:bCs w:val="false"/>
          <w:i w:val="false"/>
          <w:iCs w:val="false"/>
        </w:rPr>
        <w:t xml:space="preserve"> (19ª CDP, Rel. Jairo Brazil, j. 31/10/2024, v.u.). O executado depositou valor a menor "sem qualquer ressalva", pediu a extinção, e a Câmara reconheceu preclusão consumativa e lógica (art. 1.000, parágrafo único). O executado pode invocá-lo contra as planilhas dos exequentes sem ressalva. </w:t>
      </w:r>
      <w:r>
        <w:rPr>
          <w:rFonts w:ascii="Times New Roman" w:cs="Times New Roman" w:eastAsia="Times New Roman" w:hAnsi="Times New Roman"/>
          <w:b/>
          <w:bCs/>
          <w:i w:val="false"/>
          <w:iCs w:val="false"/>
        </w:rPr>
        <w:t xml:space="preserve">Distinção:</w:t>
      </w:r>
      <w:r>
        <w:rPr>
          <w:rFonts w:ascii="Times New Roman" w:cs="Times New Roman" w:eastAsia="Times New Roman" w:hAnsi="Times New Roman"/>
          <w:b w:val="false"/>
          <w:bCs w:val="false"/>
          <w:i w:val="false"/>
          <w:iCs w:val="false"/>
        </w:rPr>
        <w:t xml:space="preserve"> lá houve ato espontâneo de disposição do próprio devedor (pagamento com pedido de extinção); aqui houve credor cumprindo ordem judicial com prazo (fls. 3066, item 2), hipótese em que o STJ afasta a aquiescência (REsp 2.018.575/PR).</w:t>
      </w:r>
    </w:p>
    <w:p>
      <w:pPr>
        <w:pStyle w:val="ListParagraph"/>
        <w:numPr>
          <w:ilvl w:val="0"/>
          <w:numId w:val="2"/>
        </w:numPr>
        <w:spacing w:after="80" w:line="34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Dois gumes: TJSP AI 2181564-67.2026</w:t>
      </w:r>
      <w:r>
        <w:rPr>
          <w:rFonts w:ascii="Times New Roman" w:cs="Times New Roman" w:eastAsia="Times New Roman" w:hAnsi="Times New Roman"/>
          <w:b w:val="false"/>
          <w:bCs w:val="false"/>
          <w:i w:val="false"/>
          <w:iCs w:val="false"/>
        </w:rPr>
        <w:t xml:space="preserve"> (1ª CDP, Rel. Claudio Godoy, j. 17/09/2026, v.u.). </w:t>
      </w:r>
      <w:r>
        <w:rPr>
          <w:rFonts w:ascii="Times New Roman" w:cs="Times New Roman" w:eastAsia="Times New Roman" w:hAnsi="Times New Roman"/>
          <w:b/>
          <w:bCs/>
          <w:i w:val="false"/>
          <w:iCs w:val="false"/>
        </w:rPr>
        <w:t xml:space="preserve">A favor:</w:t>
      </w:r>
      <w:r>
        <w:rPr>
          <w:rFonts w:ascii="Times New Roman" w:cs="Times New Roman" w:eastAsia="Times New Roman" w:hAnsi="Times New Roman"/>
          <w:b w:val="false"/>
          <w:bCs w:val="false"/>
          <w:i w:val="false"/>
          <w:iCs w:val="false"/>
        </w:rPr>
        <w:t xml:space="preserve"> "o mero decurso do prazo (…) não acarreta a perda do direito da credora de demonstrar o valor correto da dívida, tampouco impõe a aceitação tácita e automática dos cálculos oferecidos pelo executado". Isso serve contra o pedido do executado de homologar os seus R$ 2.911.270,42. O acórdão também transcreve o AI 2217064-68.2024 (1ª CDP): "À falta de decisão exauriente sobre a matéria (…), descabe a homologação do cálculo oferecido". Lido a contrario, isso favorece os exequentes, porque aqui há decisão exauriente: a homologação de 1995 (fls. 203 e-SAJ / 152 física). </w:t>
      </w:r>
      <w:r>
        <w:rPr>
          <w:rFonts w:ascii="Times New Roman" w:cs="Times New Roman" w:eastAsia="Times New Roman" w:hAnsi="Times New Roman"/>
          <w:b/>
          <w:bCs/>
          <w:i w:val="false"/>
          <w:iCs w:val="false"/>
        </w:rPr>
        <w:t xml:space="preserve">Contra:</w:t>
      </w:r>
      <w:r>
        <w:rPr>
          <w:rFonts w:ascii="Times New Roman" w:cs="Times New Roman" w:eastAsia="Times New Roman" w:hAnsi="Times New Roman"/>
          <w:b w:val="false"/>
          <w:bCs w:val="false"/>
          <w:i w:val="false"/>
          <w:iCs w:val="false"/>
        </w:rPr>
        <w:t xml:space="preserve"> "a preclusão não alcança o Juízo, que pode, até mesmo de ofício, rever os cálculos do credor, de modo a adequá-los aos limites do título executivo" (com AgInt no AREsp 1.679.792/RS e AgInt no AREsp 2.082.313/DF, 🟨 só transcritos). O executado dirá que foi isso que o juiz fez em fls. 3066. </w:t>
      </w:r>
      <w:r>
        <w:rPr>
          <w:rFonts w:ascii="Times New Roman" w:cs="Times New Roman" w:eastAsia="Times New Roman" w:hAnsi="Times New Roman"/>
          <w:b/>
          <w:bCs/>
          <w:i w:val="false"/>
          <w:iCs w:val="false"/>
        </w:rPr>
        <w:t xml:space="preserve">Resposta:</w:t>
      </w:r>
      <w:r>
        <w:rPr>
          <w:rFonts w:ascii="Times New Roman" w:cs="Times New Roman" w:eastAsia="Times New Roman" w:hAnsi="Times New Roman"/>
          <w:b w:val="false"/>
          <w:bCs w:val="false"/>
          <w:i w:val="false"/>
          <w:iCs w:val="false"/>
        </w:rPr>
        <w:t xml:space="preserve"> o poder de adequar o cálculo ao título não autoriza refazer critério já fixado em decisão homologatória preclusa (EDcl/EREsp 1.229.406; AgInt no REsp 2.127.021). Lá não havia homologação anterior; aqui há.</w:t>
      </w:r>
    </w:p>
    <w:p>
      <w:pPr>
        <w:spacing w:after="120" w:line="360"/>
        <w:jc w:val="both"/>
      </w:pPr>
      <w:r>
        <w:rPr>
          <w:rFonts w:ascii="Times New Roman" w:cs="Times New Roman" w:eastAsia="Times New Roman" w:hAnsi="Times New Roman"/>
          <w:b/>
          <w:bCs/>
          <w:i w:val="false"/>
          <w:iCs w:val="false"/>
        </w:rPr>
        <w:t xml:space="preserve">O que fazer nos memoriais:</w:t>
      </w:r>
      <w:r>
        <w:rPr>
          <w:rFonts w:ascii="Times New Roman" w:cs="Times New Roman" w:eastAsia="Times New Roman" w:hAnsi="Times New Roman"/>
          <w:b w:val="false"/>
          <w:bCs w:val="false"/>
          <w:i w:val="false"/>
          <w:iCs w:val="false"/>
        </w:rPr>
        <w:t xml:space="preserve"> admitir a sequência de planilhas, explicar a "liberalidade" do Santander, e reduzir o pedido: reconhecer a base de 1995 </w:t>
      </w:r>
      <w:r>
        <w:rPr>
          <w:rFonts w:ascii="Times New Roman" w:cs="Times New Roman" w:eastAsia="Times New Roman" w:hAnsi="Times New Roman"/>
          <w:b/>
          <w:bCs/>
          <w:i w:val="false"/>
          <w:iCs w:val="false"/>
        </w:rPr>
        <w:t xml:space="preserve">como piso da liquidação</w:t>
      </w:r>
      <w:r>
        <w:rPr>
          <w:rFonts w:ascii="Times New Roman" w:cs="Times New Roman" w:eastAsia="Times New Roman" w:hAnsi="Times New Roman"/>
          <w:b w:val="false"/>
          <w:bCs w:val="false"/>
          <w:i w:val="false"/>
          <w:iCs w:val="false"/>
        </w:rPr>
        <w:t xml:space="preserve"> e remeter à perícia; abandonar a homologação dos R$ 185 milhões no agravo.</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BLOCO G — O QUE PODE SER FEITO AGORA</w:t>
      </w:r>
    </w:p>
    <w:p>
      <w:pPr>
        <w:pStyle w:val="Heading2"/>
        <w:keepNext/>
      </w:pPr>
      <w:r>
        <w:rPr>
          <w:rFonts w:ascii="Times New Roman" w:cs="Times New Roman" w:eastAsia="Times New Roman" w:hAnsi="Times New Roman"/>
        </w:rPr>
        <w:t xml:space="preserve">G1. Atos cabíveis (fase: concluso à Relatora desde 26/08/2026)</w:t>
      </w:r>
    </w:p>
    <w:p>
      <w:pPr>
        <w:spacing w:after="120" w:line="360"/>
        <w:jc w:val="both"/>
      </w:pPr>
      <w:r>
        <w:rPr>
          <w:rFonts w:ascii="Times New Roman" w:cs="Times New Roman" w:eastAsia="Times New Roman" w:hAnsi="Times New Roman"/>
          <w:b/>
          <w:bCs/>
          <w:i w:val="false"/>
          <w:iCs w:val="false"/>
        </w:rPr>
        <w:t xml:space="preserve">Mudança de regime normativo (v3).</w:t>
      </w:r>
      <w:r>
        <w:rPr>
          <w:rFonts w:ascii="Times New Roman" w:cs="Times New Roman" w:eastAsia="Times New Roman" w:hAnsi="Times New Roman"/>
          <w:b w:val="false"/>
          <w:bCs w:val="false"/>
          <w:i w:val="false"/>
          <w:iCs w:val="false"/>
        </w:rPr>
        <w:t xml:space="preserve"> 🟩 A Resolução TJSP 984/2025, publicada em 18/09/2025 e em vigor 30 dias depois, regula o julgamento eletrônico nos órgãos colegiados do TJSP (SAJ e eproc), em conformidade com a Resolução CNJ 591/2024. Ela revoga expressamente as Resoluções 549/2011, 772/2017 e 903/2023, ressalvados os julgamentos virtuais iniciados antes da vigência (notícia oficial do TJSP de 18/09/2025). O agravo foi distribuído em 27/07/2026, portanto </w:t>
      </w:r>
      <w:r>
        <w:rPr>
          <w:rFonts w:ascii="Times New Roman" w:cs="Times New Roman" w:eastAsia="Times New Roman" w:hAnsi="Times New Roman"/>
          <w:b/>
          <w:bCs/>
          <w:i w:val="false"/>
          <w:iCs w:val="false"/>
        </w:rPr>
        <w:t xml:space="preserve">rege-se pela Resolução 984/2025, e não pela 549/2011</w:t>
      </w:r>
      <w:r>
        <w:rPr>
          <w:rFonts w:ascii="Times New Roman" w:cs="Times New Roman" w:eastAsia="Times New Roman" w:hAnsi="Times New Roman"/>
          <w:b w:val="false"/>
          <w:bCs w:val="false"/>
          <w:i w:val="false"/>
          <w:iCs w:val="false"/>
        </w:rPr>
        <w:t xml:space="preserve">. O próprio EDcl 0114335-38.2025.8.26.9061 (5ª Turma Recursal Cível, j. 27/11/2025) já descreve a Resolução 549/2011 como "em vigor quando no momento do julgamento".</w:t>
      </w:r>
    </w:p>
    <w:p>
      <w:pPr>
        <w:spacing w:after="120" w:line="360"/>
        <w:jc w:val="both"/>
      </w:pPr>
      <w:r>
        <w:rPr>
          <w:rFonts w:ascii="Times New Roman" w:cs="Times New Roman" w:eastAsia="Times New Roman" w:hAnsi="Times New Roman"/>
          <w:b/>
          <w:bCs/>
          <w:i w:val="false"/>
          <w:iCs w:val="false"/>
        </w:rPr>
        <w:t xml:space="preserve">Consequência para a v2.</w:t>
      </w:r>
      <w:r>
        <w:rPr>
          <w:rFonts w:ascii="Times New Roman" w:cs="Times New Roman" w:eastAsia="Times New Roman" w:hAnsi="Times New Roman"/>
          <w:b w:val="false"/>
          <w:bCs w:val="false"/>
          <w:i w:val="false"/>
          <w:iCs w:val="false"/>
        </w:rPr>
        <w:t xml:space="preserve"> A afirmação da v2 de que o prazo de cinco dias úteis da publicação da distribuição "provavelmente já venceu" está superada. Esse prazo era da Resolução 549/2011, art. 1º, na redação da Resolução 903/2023, e não se aplica mais.</w:t>
      </w:r>
    </w:p>
    <w:p>
      <w:pPr>
        <w:spacing w:after="120" w:line="360"/>
        <w:jc w:val="both"/>
      </w:pPr>
      <w:r>
        <w:rPr>
          <w:rFonts w:ascii="Times New Roman" w:cs="Times New Roman" w:eastAsia="Times New Roman" w:hAnsi="Times New Roman"/>
          <w:b/>
          <w:bCs/>
          <w:i w:val="false"/>
          <w:iCs w:val="false"/>
        </w:rPr>
        <w:t xml:space="preserve">Regras atuais relevantes.</w:t>
      </w:r>
      <w:r>
        <w:rPr>
          <w:rFonts w:ascii="Times New Roman" w:cs="Times New Roman" w:eastAsia="Times New Roman" w:hAnsi="Times New Roman"/>
          <w:b w:val="false"/>
          <w:bCs w:val="false"/>
          <w:i w:val="false"/>
          <w:iCs w:val="false"/>
        </w:rPr>
        <w:t xml:space="preserve"> Fonte: notícias oficiais do TJSP de 18/09/2025 e de outubro de 2025, e resumo de terceiro que cita o art. 11 da Resolução 984/2025. 🟨 O texto integral oficial não foi obtido, porque o Diário da Justiça Eletrônico retornou erro 503.</w:t>
      </w:r>
    </w:p>
    <w:p>
      <w:pPr>
        <w:pStyle w:val="ListParagraph"/>
        <w:numPr>
          <w:ilvl w:val="0"/>
          <w:numId w:val="2"/>
        </w:numPr>
        <w:spacing w:after="80" w:line="340"/>
        <w:jc w:val="both"/>
      </w:pPr>
      <w:r>
        <w:rPr>
          <w:rFonts w:ascii="Times New Roman" w:cs="Times New Roman" w:eastAsia="Times New Roman" w:hAnsi="Times New Roman"/>
          <w:b/>
          <w:bCs/>
          <w:i w:val="false"/>
          <w:iCs w:val="false"/>
        </w:rPr>
        <w:t xml:space="preserve">Pauta.</w:t>
      </w:r>
      <w:r>
        <w:rPr>
          <w:rFonts w:ascii="Times New Roman" w:cs="Times New Roman" w:eastAsia="Times New Roman" w:hAnsi="Times New Roman"/>
          <w:b w:val="false"/>
          <w:bCs w:val="false"/>
          <w:i w:val="false"/>
          <w:iCs w:val="false"/>
        </w:rPr>
        <w:t xml:space="preserve"> A pauta é publicada no DJEN com antecedência mínima de cinco dias úteis do início da sessão eletrônica. A sessão é assíncrona e dura até seis dias úteis.</w:t>
      </w:r>
    </w:p>
    <w:p>
      <w:pPr>
        <w:pStyle w:val="ListParagraph"/>
        <w:numPr>
          <w:ilvl w:val="0"/>
          <w:numId w:val="2"/>
        </w:numPr>
        <w:spacing w:after="80" w:line="340"/>
        <w:jc w:val="both"/>
      </w:pPr>
      <w:r>
        <w:rPr>
          <w:rFonts w:ascii="Times New Roman" w:cs="Times New Roman" w:eastAsia="Times New Roman" w:hAnsi="Times New Roman"/>
          <w:b/>
          <w:bCs/>
          <w:i w:val="false"/>
          <w:iCs w:val="false"/>
        </w:rPr>
        <w:t xml:space="preserve">Objeção das partes.</w:t>
      </w:r>
      <w:r>
        <w:rPr>
          <w:rFonts w:ascii="Times New Roman" w:cs="Times New Roman" w:eastAsia="Times New Roman" w:hAnsi="Times New Roman"/>
          <w:b w:val="false"/>
          <w:bCs w:val="false"/>
          <w:i w:val="false"/>
          <w:iCs w:val="false"/>
        </w:rPr>
        <w:t xml:space="preserve"> Qualquer das partes pode apresentar requerimento de objeção ao julgamento eletrônico </w:t>
      </w:r>
      <w:r>
        <w:rPr>
          <w:rFonts w:ascii="Times New Roman" w:cs="Times New Roman" w:eastAsia="Times New Roman" w:hAnsi="Times New Roman"/>
          <w:b/>
          <w:bCs/>
          <w:i w:val="false"/>
          <w:iCs w:val="false"/>
        </w:rPr>
        <w:t xml:space="preserve">até 48 horas antes do início da sessão</w:t>
      </w:r>
      <w:r>
        <w:rPr>
          <w:rFonts w:ascii="Times New Roman" w:cs="Times New Roman" w:eastAsia="Times New Roman" w:hAnsi="Times New Roman"/>
          <w:b w:val="false"/>
          <w:bCs w:val="false"/>
          <w:i w:val="false"/>
          <w:iCs w:val="false"/>
        </w:rPr>
        <w:t xml:space="preserve">. O relator analisa o pedido. Fonte 🟨: art. 11, I e II, segundo resumo de terceiro.</w:t>
      </w:r>
    </w:p>
    <w:p>
      <w:pPr>
        <w:pStyle w:val="ListParagraph"/>
        <w:numPr>
          <w:ilvl w:val="0"/>
          <w:numId w:val="2"/>
        </w:numPr>
        <w:spacing w:after="80" w:line="340"/>
        <w:jc w:val="both"/>
      </w:pPr>
      <w:r>
        <w:rPr>
          <w:rFonts w:ascii="Times New Roman" w:cs="Times New Roman" w:eastAsia="Times New Roman" w:hAnsi="Times New Roman"/>
          <w:b/>
          <w:bCs/>
          <w:i w:val="false"/>
          <w:iCs w:val="false"/>
        </w:rPr>
        <w:t xml:space="preserve">Destaque por magistrado.</w:t>
      </w:r>
      <w:r>
        <w:rPr>
          <w:rFonts w:ascii="Times New Roman" w:cs="Times New Roman" w:eastAsia="Times New Roman" w:hAnsi="Times New Roman"/>
          <w:b w:val="false"/>
          <w:bCs w:val="false"/>
          <w:i w:val="false"/>
          <w:iCs w:val="false"/>
        </w:rPr>
        <w:t xml:space="preserve"> Qualquer integrante do colegiado pode destacar o processo, que então é reiniciado em sessão presencial ou telepresencial.</w:t>
      </w:r>
    </w:p>
    <w:p>
      <w:pPr>
        <w:pStyle w:val="ListParagraph"/>
        <w:numPr>
          <w:ilvl w:val="0"/>
          <w:numId w:val="2"/>
        </w:numPr>
        <w:spacing w:after="80" w:line="340"/>
        <w:jc w:val="both"/>
      </w:pPr>
      <w:r>
        <w:rPr>
          <w:rFonts w:ascii="Times New Roman" w:cs="Times New Roman" w:eastAsia="Times New Roman" w:hAnsi="Times New Roman"/>
          <w:b/>
          <w:bCs/>
          <w:i w:val="false"/>
          <w:iCs w:val="false"/>
        </w:rPr>
        <w:t xml:space="preserve">Sustentação oral.</w:t>
      </w:r>
      <w:r>
        <w:rPr>
          <w:rFonts w:ascii="Times New Roman" w:cs="Times New Roman" w:eastAsia="Times New Roman" w:hAnsi="Times New Roman"/>
          <w:b w:val="false"/>
          <w:bCs w:val="false"/>
          <w:i w:val="false"/>
          <w:iCs w:val="false"/>
        </w:rPr>
        <w:t xml:space="preserve"> Quando cabível, é enviada em áudio ou vídeo no mesmo prazo de 48 horas.</w:t>
      </w:r>
    </w:p>
    <w:p>
      <w:pPr>
        <w:spacing w:after="120" w:line="360"/>
        <w:jc w:val="both"/>
      </w:pPr>
      <w:r>
        <w:rPr>
          <w:rFonts w:ascii="Times New Roman" w:cs="Times New Roman" w:eastAsia="Times New Roman" w:hAnsi="Times New Roman"/>
          <w:b/>
          <w:bCs/>
          <w:i w:val="false"/>
          <w:iCs w:val="false"/>
        </w:rPr>
        <w:t xml:space="preserve">Aplicação ao caso.</w:t>
      </w:r>
    </w:p>
    <w:p>
      <w:pPr>
        <w:pStyle w:val="ListParagraph"/>
        <w:numPr>
          <w:ilvl w:val="0"/>
          <w:numId w:val="3"/>
        </w:numPr>
        <w:spacing w:after="80" w:line="340"/>
        <w:jc w:val="both"/>
      </w:pPr>
      <w:r>
        <w:rPr>
          <w:rFonts w:ascii="Times New Roman" w:cs="Times New Roman" w:eastAsia="Times New Roman" w:hAnsi="Times New Roman"/>
          <w:b/>
          <w:bCs/>
          <w:i w:val="false"/>
          <w:iCs w:val="false"/>
        </w:rPr>
        <w:t xml:space="preserve">Sustentação oral não cabe.</w:t>
      </w:r>
      <w:r>
        <w:rPr>
          <w:rFonts w:ascii="Times New Roman" w:cs="Times New Roman" w:eastAsia="Times New Roman" w:hAnsi="Times New Roman"/>
          <w:b w:val="false"/>
          <w:bCs w:val="false"/>
          <w:i w:val="false"/>
          <w:iCs w:val="false"/>
        </w:rPr>
        <w:t xml:space="preserve"> O agravo ataca decisão sobre cálculo, e não sobre tutela provisória. O art. 937, VIII, do CPC só admite sustentação em agravo de instrumento "interposto contra decisões interlocutórias que versem sobre tutelas provisórias de urgência ou da evidência". O RITJSP, art. 146, § 4º, tem a mesma restrição, conforme transcrição no EDcl 0114335. 🟨 O texto autônomo do RITJSP não foi obtido.</w:t>
      </w:r>
    </w:p>
    <w:p>
      <w:pPr>
        <w:pStyle w:val="ListParagraph"/>
        <w:numPr>
          <w:ilvl w:val="0"/>
          <w:numId w:val="3"/>
        </w:numPr>
        <w:spacing w:after="80" w:line="340"/>
        <w:jc w:val="both"/>
      </w:pPr>
      <w:r>
        <w:rPr>
          <w:rFonts w:ascii="Times New Roman" w:cs="Times New Roman" w:eastAsia="Times New Roman" w:hAnsi="Times New Roman"/>
          <w:b/>
          <w:bCs/>
          <w:i w:val="false"/>
          <w:iCs w:val="false"/>
        </w:rPr>
        <w:t xml:space="preserve">Objeção ao julgamento eletrônico: possível, mas com baixa chance.</w:t>
      </w:r>
      <w:r>
        <w:rPr>
          <w:rFonts w:ascii="Times New Roman" w:cs="Times New Roman" w:eastAsia="Times New Roman" w:hAnsi="Times New Roman"/>
          <w:b w:val="false"/>
          <w:bCs w:val="false"/>
          <w:i w:val="false"/>
          <w:iCs w:val="false"/>
        </w:rPr>
        <w:t xml:space="preserve"> O prazo ainda está aberto enquanto a pauta não for publicada, e depois dela vai até 48 horas antes da sessão. Sem direito à sustentação, porém, o relator tende a indeferir. O STJ decidiu que não há direito de exigir sessão presencial e que o julgamento virtual, mesmo com oposição tempestiva, só é nulo com prejuízo concreto (REsp 1.995.565/SP, 3ª T., Rel. Min. Nancy Andrighi, j. 22/11/2022, transcrito no EDcl 0114335; 🟨 inteiro teor não está no Drive). Se for apresentada, a objeção deve ser motivada pela utilidade concreta de uma sessão presencial, como o esclarecimento de fato sobre a numeração das folhas e a conta de 1995.</w:t>
      </w:r>
    </w:p>
    <w:p>
      <w:pPr>
        <w:pStyle w:val="ListParagraph"/>
        <w:numPr>
          <w:ilvl w:val="0"/>
          <w:numId w:val="3"/>
        </w:numPr>
        <w:spacing w:after="80" w:line="340"/>
        <w:jc w:val="both"/>
      </w:pPr>
      <w:r>
        <w:rPr>
          <w:rFonts w:ascii="Times New Roman" w:cs="Times New Roman" w:eastAsia="Times New Roman" w:hAnsi="Times New Roman"/>
          <w:b/>
          <w:bCs/>
          <w:i w:val="false"/>
          <w:iCs w:val="false"/>
        </w:rPr>
        <w:t xml:space="preserve">O instrumento principal continua sendo o memorial,</w:t>
      </w:r>
      <w:r>
        <w:rPr>
          <w:rFonts w:ascii="Times New Roman" w:cs="Times New Roman" w:eastAsia="Times New Roman" w:hAnsi="Times New Roman"/>
          <w:b w:val="false"/>
          <w:bCs w:val="false"/>
          <w:i w:val="false"/>
          <w:iCs w:val="false"/>
        </w:rPr>
        <w:t xml:space="preserve"> com despacho pessoal com a Relatora. É preciso acompanhar diariamente a publicação da pauta no DJEN, porque ela abre a janela de 48 horas.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10"/>
        <w:gridCol w:w="2681"/>
        <w:gridCol w:w="1698"/>
        <w:gridCol w:w="2682"/>
      </w:tblGrid>
      <w:tr>
        <w:trPr>
          <w:cantSplit/>
          <w:tblHeader/>
        </w:trPr>
        <w:tc>
          <w:tcPr>
            <w:tcW w:type="dxa" w:w="201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Ato</w:t>
            </w:r>
          </w:p>
        </w:tc>
        <w:tc>
          <w:tcPr>
            <w:tcW w:type="dxa" w:w="268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Fundamento</w:t>
            </w:r>
          </w:p>
        </w:tc>
        <w:tc>
          <w:tcPr>
            <w:tcW w:type="dxa" w:w="169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Prazo</w:t>
            </w:r>
          </w:p>
        </w:tc>
        <w:tc>
          <w:tcPr>
            <w:tcW w:type="dxa" w:w="268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Observação</w:t>
            </w:r>
          </w:p>
        </w:tc>
      </w:tr>
      <w:tr>
        <w:trPr>
          <w:cantSplit/>
          <w:tblHeader w:val="false"/>
        </w:trPr>
        <w:tc>
          <w:tcPr>
            <w:tcW w:type="dxa" w:w="20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Memoriais</w:t>
            </w:r>
          </w:p>
        </w:tc>
        <w:tc>
          <w:tcPr>
            <w:tcW w:type="dxa" w:w="26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prática forense; art. 5º, LV, CF</w:t>
            </w:r>
          </w:p>
        </w:tc>
        <w:tc>
          <w:tcPr>
            <w:tcW w:type="dxa" w:w="1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antes do início da sessão</w:t>
            </w:r>
          </w:p>
        </w:tc>
        <w:tc>
          <w:tcPr>
            <w:tcW w:type="dxa" w:w="26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Protocolar já, sem esperar a pauta</w:t>
            </w:r>
          </w:p>
        </w:tc>
      </w:tr>
      <w:tr>
        <w:trPr>
          <w:cantSplit/>
          <w:tblHeader w:val="false"/>
        </w:trPr>
        <w:tc>
          <w:tcPr>
            <w:tcW w:type="dxa" w:w="20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Juntada de documentos</w:t>
            </w:r>
          </w:p>
        </w:tc>
        <w:tc>
          <w:tcPr>
            <w:tcW w:type="dxa" w:w="26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435 e parágrafo único; art. 437, § 1º (vista de 15 dias)</w:t>
            </w:r>
          </w:p>
        </w:tc>
        <w:tc>
          <w:tcPr>
            <w:tcW w:type="dxa" w:w="1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qualquer tempo</w:t>
            </w:r>
          </w:p>
        </w:tc>
        <w:tc>
          <w:tcPr>
            <w:tcW w:type="dxa" w:w="26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Peças já existentes nos autos de origem (1419/1421, 1483, 2137/2139, 165, 169, 174/175) são "facultativas" (art. 1.017, II)</w:t>
            </w:r>
          </w:p>
        </w:tc>
      </w:tr>
      <w:tr>
        <w:trPr>
          <w:cantSplit/>
          <w:tblHeader w:val="false"/>
        </w:trPr>
        <w:tc>
          <w:tcPr>
            <w:tcW w:type="dxa" w:w="20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Fato superveniente</w:t>
            </w:r>
          </w:p>
        </w:tc>
        <w:tc>
          <w:tcPr>
            <w:tcW w:type="dxa" w:w="26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493</w:t>
            </w:r>
          </w:p>
        </w:tc>
        <w:tc>
          <w:tcPr>
            <w:tcW w:type="dxa" w:w="1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idem</w:t>
            </w:r>
          </w:p>
        </w:tc>
        <w:tc>
          <w:tcPr>
            <w:tcW w:type="dxa" w:w="26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petição e planilha do executado de 20/08/2026 (fls. 3441/3459)</w:t>
            </w:r>
          </w:p>
        </w:tc>
      </w:tr>
      <w:tr>
        <w:trPr>
          <w:cantSplit/>
          <w:tblHeader w:val="false"/>
        </w:trPr>
        <w:tc>
          <w:tcPr>
            <w:tcW w:type="dxa" w:w="20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Manifestação sobre documentos da contraminuta</w:t>
            </w:r>
          </w:p>
        </w:tc>
        <w:tc>
          <w:tcPr>
            <w:tcW w:type="dxa" w:w="26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437, § 1º</w:t>
            </w:r>
          </w:p>
        </w:tc>
        <w:tc>
          <w:tcPr>
            <w:tcW w:type="dxa" w:w="1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15 dias da intimação</w:t>
            </w:r>
          </w:p>
        </w:tc>
        <w:tc>
          <w:tcPr>
            <w:tcW w:type="dxa" w:w="26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verificar se houve juntada</w:t>
            </w:r>
          </w:p>
        </w:tc>
      </w:tr>
      <w:tr>
        <w:trPr>
          <w:cantSplit/>
          <w:tblHeader w:val="false"/>
        </w:trPr>
        <w:tc>
          <w:tcPr>
            <w:tcW w:type="dxa" w:w="20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Objeção ao julgamento eletrônico</w:t>
            </w:r>
          </w:p>
        </w:tc>
        <w:tc>
          <w:tcPr>
            <w:tcW w:type="dxa" w:w="26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 TJSP 984/2025, art. 11 (🟨 texto oficial não obtido)</w:t>
            </w:r>
          </w:p>
        </w:tc>
        <w:tc>
          <w:tcPr>
            <w:tcW w:type="dxa" w:w="1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até 48 horas antes do início da sessão</w:t>
            </w:r>
          </w:p>
        </w:tc>
        <w:tc>
          <w:tcPr>
            <w:tcW w:type="dxa" w:w="26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motivada; decidida pelo relator; indeferimento provável sem direito à sustentação</w:t>
            </w:r>
          </w:p>
        </w:tc>
      </w:tr>
      <w:tr>
        <w:trPr>
          <w:cantSplit/>
          <w:tblHeader w:val="false"/>
        </w:trPr>
        <w:tc>
          <w:tcPr>
            <w:tcW w:type="dxa" w:w="20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Sustentação oral</w:t>
            </w:r>
          </w:p>
        </w:tc>
        <w:tc>
          <w:tcPr>
            <w:tcW w:type="dxa" w:w="26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937, VIII, CPC; RITJSP, art. 146, § 4º</w:t>
            </w:r>
          </w:p>
        </w:tc>
        <w:tc>
          <w:tcPr>
            <w:tcW w:type="dxa" w:w="1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26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não cabe</w:t>
            </w:r>
            <w:r>
              <w:rPr>
                <w:rFonts w:ascii="Times New Roman" w:cs="Times New Roman" w:eastAsia="Times New Roman" w:hAnsi="Times New Roman"/>
                <w:b w:val="false"/>
                <w:bCs w:val="false"/>
                <w:i w:val="false"/>
                <w:iCs w:val="false"/>
                <w:sz w:val="19"/>
                <w:szCs w:val="19"/>
              </w:rPr>
              <w:t xml:space="preserve"> neste agravo (EDcl 0114335; EDcl Ap. 0019853)</w:t>
            </w:r>
          </w:p>
        </w:tc>
      </w:tr>
      <w:tr>
        <w:trPr>
          <w:cantSplit/>
          <w:tblHeader w:val="false"/>
        </w:trPr>
        <w:tc>
          <w:tcPr>
            <w:tcW w:type="dxa" w:w="20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Despacho com a Relatora</w:t>
            </w:r>
          </w:p>
        </w:tc>
        <w:tc>
          <w:tcPr>
            <w:tcW w:type="dxa" w:w="26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7º, VIII, EOAB</w:t>
            </w:r>
          </w:p>
        </w:tc>
        <w:tc>
          <w:tcPr>
            <w:tcW w:type="dxa" w:w="1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antes do julgamento</w:t>
            </w:r>
          </w:p>
        </w:tc>
        <w:tc>
          <w:tcPr>
            <w:tcW w:type="dxa" w:w="26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recomendado, levando os memoriais</w:t>
            </w:r>
          </w:p>
        </w:tc>
      </w:tr>
      <w:tr>
        <w:trPr>
          <w:cantSplit/>
          <w:tblHeader w:val="false"/>
        </w:trPr>
        <w:tc>
          <w:tcPr>
            <w:tcW w:type="dxa" w:w="20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Embargos de declaração após o acórdão</w:t>
            </w:r>
          </w:p>
        </w:tc>
        <w:tc>
          <w:tcPr>
            <w:tcW w:type="dxa" w:w="26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1.022</w:t>
            </w:r>
          </w:p>
        </w:tc>
        <w:tc>
          <w:tcPr>
            <w:tcW w:type="dxa" w:w="1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 dias úteis</w:t>
            </w:r>
          </w:p>
        </w:tc>
        <w:tc>
          <w:tcPr>
            <w:tcW w:type="dxa" w:w="26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prequestionamento para REsp</w:t>
            </w:r>
          </w:p>
        </w:tc>
      </w:tr>
      <w:tr>
        <w:trPr>
          <w:cantSplit/>
          <w:tblHeader w:val="false"/>
        </w:trPr>
        <w:tc>
          <w:tcPr>
            <w:tcW w:type="dxa" w:w="20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Agravo interno</w:t>
            </w:r>
          </w:p>
        </w:tc>
        <w:tc>
          <w:tcPr>
            <w:tcW w:type="dxa" w:w="26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1.021</w:t>
            </w:r>
          </w:p>
        </w:tc>
        <w:tc>
          <w:tcPr>
            <w:tcW w:type="dxa" w:w="1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15 dias</w:t>
            </w:r>
          </w:p>
        </w:tc>
        <w:tc>
          <w:tcPr>
            <w:tcW w:type="dxa" w:w="26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só se houver decisão monocrática</w:t>
            </w:r>
          </w:p>
        </w:tc>
      </w:tr>
    </w:tbl>
    <w:p>
      <w:pPr>
        <w:spacing w:after="120"/>
      </w:pPr>
    </w:p>
    <w:p>
      <w:pPr>
        <w:pStyle w:val="Heading2"/>
        <w:keepNext/>
      </w:pPr>
      <w:r>
        <w:rPr>
          <w:rFonts w:ascii="Times New Roman" w:cs="Times New Roman" w:eastAsia="Times New Roman" w:hAnsi="Times New Roman"/>
        </w:rPr>
        <w:t xml:space="preserve">G2. Aditamento e inovação recursal</w:t>
      </w:r>
    </w:p>
    <w:p>
      <w:pPr>
        <w:spacing w:after="120" w:line="360"/>
        <w:jc w:val="both"/>
      </w:pPr>
      <w:r>
        <w:rPr>
          <w:rFonts w:ascii="Times New Roman" w:cs="Times New Roman" w:eastAsia="Times New Roman" w:hAnsi="Times New Roman"/>
          <w:b w:val="false"/>
          <w:bCs w:val="false"/>
          <w:i w:val="false"/>
          <w:iCs w:val="false"/>
        </w:rPr>
        <w:t xml:space="preserve">Aditar as razões do agravo </w:t>
      </w:r>
      <w:r>
        <w:rPr>
          <w:rFonts w:ascii="Times New Roman" w:cs="Times New Roman" w:eastAsia="Times New Roman" w:hAnsi="Times New Roman"/>
          <w:b/>
          <w:bCs/>
          <w:i w:val="false"/>
          <w:iCs w:val="false"/>
        </w:rPr>
        <w:t xml:space="preserve">não</w:t>
      </w:r>
      <w:r>
        <w:rPr>
          <w:rFonts w:ascii="Times New Roman" w:cs="Times New Roman" w:eastAsia="Times New Roman" w:hAnsi="Times New Roman"/>
          <w:b w:val="false"/>
          <w:bCs w:val="false"/>
          <w:i w:val="false"/>
          <w:iCs w:val="false"/>
        </w:rPr>
        <w:t xml:space="preserve"> é possível (preclusão consumativa, art. 1.017/1.003, § 5º). Classificação: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458"/>
        <w:gridCol w:w="4613"/>
      </w:tblGrid>
      <w:tr>
        <w:trPr>
          <w:cantSplit/>
          <w:tblHeader/>
        </w:trPr>
        <w:tc>
          <w:tcPr>
            <w:tcW w:type="dxa" w:w="445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Tópico</w:t>
            </w:r>
          </w:p>
        </w:tc>
        <w:tc>
          <w:tcPr>
            <w:tcW w:type="dxa" w:w="461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Inovação (vedada) ou reforço (permitido)</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A1, A3 (base homologada; artigos corretos)</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reforço: já está no agravo (IV.1, IV.1-A)</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A2 (fls. 3066 decidiu além dos embargos; decisão-surpresa)</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reforço</w:t>
            </w:r>
            <w:r>
              <w:rPr>
                <w:rFonts w:ascii="Times New Roman" w:cs="Times New Roman" w:eastAsia="Times New Roman" w:hAnsi="Times New Roman"/>
                <w:b w:val="false"/>
                <w:bCs w:val="false"/>
                <w:i w:val="false"/>
                <w:iCs w:val="false"/>
                <w:sz w:val="19"/>
                <w:szCs w:val="19"/>
              </w:rPr>
              <w:t xml:space="preserve"> da causa de pedir "fls. 3066 não pode desconstituir homologação"; a qualificação jurídica nova (arts. 9º/10/1.022) é matéria de direito e pode ser suscitada, com risco moderado de a Câmara chamá-la de inovação</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A4 (resposta ao art. 494, I e ao REsp 148.938)</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reforço</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A5 (efeito devolutivo do AI 2236642)</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reforço (o agravo já cita o acórdão em III.8)</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 (honorários 20% pela sentença dos embargos)</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reforço do item 2-A.1 do agravo; a </w:t>
            </w:r>
            <w:r>
              <w:rPr>
                <w:rFonts w:ascii="Times New Roman" w:cs="Times New Roman" w:eastAsia="Times New Roman" w:hAnsi="Times New Roman"/>
                <w:b/>
                <w:bCs/>
                <w:i w:val="false"/>
                <w:iCs w:val="false"/>
                <w:sz w:val="19"/>
                <w:szCs w:val="19"/>
              </w:rPr>
              <w:t xml:space="preserve">retificação</w:t>
            </w:r>
            <w:r>
              <w:rPr>
                <w:rFonts w:ascii="Times New Roman" w:cs="Times New Roman" w:eastAsia="Times New Roman" w:hAnsi="Times New Roman"/>
                <w:b w:val="false"/>
                <w:bCs w:val="false"/>
                <w:i w:val="false"/>
                <w:iCs w:val="false"/>
                <w:sz w:val="19"/>
                <w:szCs w:val="19"/>
              </w:rPr>
              <w:t xml:space="preserve"> de fls. 52 é dever de lealdade, não inovação</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C1 (mora 1% a.a.)</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não trazer; só responder se suscitado</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C4 (cessão)</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reforço (IV.2 do agravo)</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E1 (art. 926)</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reforço</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F1 (art. 1.000, p.u.)</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reforço do item IV.1-B, que já trata do cumprimento de ordem</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F2 (planilhas desde 1987)</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resposta a defesa</w:t>
            </w:r>
            <w:r>
              <w:rPr>
                <w:rFonts w:ascii="Times New Roman" w:cs="Times New Roman" w:eastAsia="Times New Roman" w:hAnsi="Times New Roman"/>
                <w:b w:val="false"/>
                <w:bCs w:val="false"/>
                <w:i w:val="false"/>
                <w:iCs w:val="false"/>
                <w:sz w:val="19"/>
                <w:szCs w:val="19"/>
              </w:rPr>
              <w:t xml:space="preserve">; não é inovação, é contraditório</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Desistência do pedido "f" (sobrestar leilão)</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permitida a qualquer tempo (art. 998)</w:t>
            </w:r>
          </w:p>
        </w:tc>
      </w:tr>
    </w:tbl>
    <w:p>
      <w:pPr>
        <w:spacing w:after="120"/>
      </w:pPr>
    </w:p>
    <w:p>
      <w:pPr>
        <w:pStyle w:val="Heading2"/>
        <w:keepNext/>
      </w:pPr>
      <w:r>
        <w:rPr>
          <w:rFonts w:ascii="Times New Roman" w:cs="Times New Roman" w:eastAsia="Times New Roman" w:hAnsi="Times New Roman"/>
        </w:rPr>
        <w:t xml:space="preserve">G3. Contraminuta</w:t>
      </w:r>
    </w:p>
    <w:p>
      <w:pPr>
        <w:spacing w:after="120" w:line="360"/>
        <w:jc w:val="both"/>
      </w:pPr>
      <w:r>
        <w:rPr>
          <w:rFonts w:ascii="Times New Roman" w:cs="Times New Roman" w:eastAsia="Times New Roman" w:hAnsi="Times New Roman"/>
          <w:b w:val="false"/>
          <w:bCs w:val="false"/>
          <w:i w:val="false"/>
          <w:iCs w:val="false"/>
        </w:rPr>
        <w:t xml:space="preserve">🟨 Não está no Drive. Respostas preparadas para as preliminares prováveis:</w:t>
      </w:r>
    </w:p>
    <w:p>
      <w:pPr>
        <w:pStyle w:val="ListParagraph"/>
        <w:numPr>
          <w:ilvl w:val="0"/>
          <w:numId w:val="2"/>
        </w:numPr>
        <w:spacing w:after="80" w:line="340"/>
        <w:jc w:val="both"/>
      </w:pPr>
      <w:r>
        <w:rPr>
          <w:rFonts w:ascii="Times New Roman" w:cs="Times New Roman" w:eastAsia="Times New Roman" w:hAnsi="Times New Roman"/>
          <w:b/>
          <w:bCs/>
          <w:i w:val="false"/>
          <w:iCs w:val="false"/>
        </w:rPr>
        <w:t xml:space="preserve">Deserção:</w:t>
      </w:r>
      <w:r>
        <w:rPr>
          <w:rFonts w:ascii="Times New Roman" w:cs="Times New Roman" w:eastAsia="Times New Roman" w:hAnsi="Times New Roman"/>
          <w:b w:val="false"/>
          <w:bCs w:val="false"/>
          <w:i w:val="false"/>
          <w:iCs w:val="false"/>
        </w:rPr>
        <w:t xml:space="preserve"> preparo recolhido em dobro em 28/07/2026 (duas guias, WPRO.26.01124604-4 e 01127671-7) dentro dos 5 dias do despacho de 27/07/2026; art. 1.007, § 4º cumprido; § 5º (vedação de nova complementação) não incide. Juntar as guias e pedir certidão.</w:t>
      </w:r>
    </w:p>
    <w:p>
      <w:pPr>
        <w:pStyle w:val="ListParagraph"/>
        <w:numPr>
          <w:ilvl w:val="0"/>
          <w:numId w:val="2"/>
        </w:numPr>
        <w:spacing w:after="80" w:line="340"/>
        <w:jc w:val="both"/>
      </w:pPr>
      <w:r>
        <w:rPr>
          <w:rFonts w:ascii="Times New Roman" w:cs="Times New Roman" w:eastAsia="Times New Roman" w:hAnsi="Times New Roman"/>
          <w:b/>
          <w:bCs/>
          <w:i w:val="false"/>
          <w:iCs w:val="false"/>
        </w:rPr>
        <w:t xml:space="preserve">Intempestividade / decisão reiterativa:</w:t>
      </w:r>
      <w:r>
        <w:rPr>
          <w:rFonts w:ascii="Times New Roman" w:cs="Times New Roman" w:eastAsia="Times New Roman" w:hAnsi="Times New Roman"/>
          <w:b w:val="false"/>
          <w:bCs w:val="false"/>
          <w:i w:val="false"/>
          <w:iCs w:val="false"/>
        </w:rPr>
        <w:t xml:space="preserve"> publicação em 07/07/2026 (DJe), feriado 09/07, prazo final 30/07; protocolo 24/07/2026. Quanto à "reiteração": fls. 3435/3437 tem três fundamentos novos (A2).</w:t>
      </w:r>
    </w:p>
    <w:p>
      <w:pPr>
        <w:pStyle w:val="ListParagraph"/>
        <w:numPr>
          <w:ilvl w:val="0"/>
          <w:numId w:val="2"/>
        </w:numPr>
        <w:spacing w:after="80" w:line="340"/>
        <w:jc w:val="both"/>
      </w:pPr>
      <w:r>
        <w:rPr>
          <w:rFonts w:ascii="Times New Roman" w:cs="Times New Roman" w:eastAsia="Times New Roman" w:hAnsi="Times New Roman"/>
          <w:b/>
          <w:bCs/>
          <w:i w:val="false"/>
          <w:iCs w:val="false"/>
        </w:rPr>
        <w:t xml:space="preserve">Inadmissibilidade (art. 1.015):</w:t>
      </w:r>
      <w:r>
        <w:rPr>
          <w:rFonts w:ascii="Times New Roman" w:cs="Times New Roman" w:eastAsia="Times New Roman" w:hAnsi="Times New Roman"/>
          <w:b w:val="false"/>
          <w:bCs w:val="false"/>
          <w:i w:val="false"/>
          <w:iCs w:val="false"/>
        </w:rPr>
        <w:t xml:space="preserve"> execução, parágrafo único; cabível.</w:t>
      </w:r>
    </w:p>
    <w:p>
      <w:pPr>
        <w:pStyle w:val="ListParagraph"/>
        <w:numPr>
          <w:ilvl w:val="0"/>
          <w:numId w:val="2"/>
        </w:numPr>
        <w:spacing w:after="80" w:line="340"/>
        <w:jc w:val="both"/>
      </w:pPr>
      <w:r>
        <w:rPr>
          <w:rFonts w:ascii="Times New Roman" w:cs="Times New Roman" w:eastAsia="Times New Roman" w:hAnsi="Times New Roman"/>
          <w:b/>
          <w:bCs/>
          <w:i w:val="false"/>
          <w:iCs w:val="false"/>
        </w:rPr>
        <w:t xml:space="preserve">Ausência de peças (art. 1.017):</w:t>
      </w:r>
      <w:r>
        <w:rPr>
          <w:rFonts w:ascii="Times New Roman" w:cs="Times New Roman" w:eastAsia="Times New Roman" w:hAnsi="Times New Roman"/>
          <w:b w:val="false"/>
          <w:bCs w:val="false"/>
          <w:i w:val="false"/>
          <w:iCs w:val="false"/>
        </w:rPr>
        <w:t xml:space="preserve"> o agravo lista 12 peças, inclusive decisão, certidão de publicação e procurações; eventual falta de peça facultativa é sanável (art. 1.017, § 3º; art. 932, p.u.).</w:t>
      </w:r>
    </w:p>
    <w:p>
      <w:pPr>
        <w:pStyle w:val="ListParagraph"/>
        <w:numPr>
          <w:ilvl w:val="0"/>
          <w:numId w:val="2"/>
        </w:numPr>
        <w:spacing w:after="80" w:line="340"/>
        <w:jc w:val="both"/>
      </w:pPr>
      <w:r>
        <w:rPr>
          <w:rFonts w:ascii="Times New Roman" w:cs="Times New Roman" w:eastAsia="Times New Roman" w:hAnsi="Times New Roman"/>
          <w:b/>
          <w:bCs/>
          <w:i w:val="false"/>
          <w:iCs w:val="false"/>
        </w:rPr>
        <w:t xml:space="preserve">Preclusão (fls. 3066 não agravada; fls. 3077 sem ressalva):</w:t>
      </w:r>
      <w:r>
        <w:rPr>
          <w:rFonts w:ascii="Times New Roman" w:cs="Times New Roman" w:eastAsia="Times New Roman" w:hAnsi="Times New Roman"/>
          <w:b w:val="false"/>
          <w:bCs w:val="false"/>
          <w:i w:val="false"/>
          <w:iCs w:val="false"/>
        </w:rPr>
        <w:t xml:space="preserve"> A2, A6, F1.</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BLOCO H — LOCALIZAÇÕES</w:t>
      </w:r>
    </w:p>
    <w:p>
      <w:pPr>
        <w:pStyle w:val="Heading2"/>
        <w:keepNext/>
      </w:pPr>
      <w:r>
        <w:rPr>
          <w:rFonts w:ascii="Times New Roman" w:cs="Times New Roman" w:eastAsia="Times New Roman" w:hAnsi="Times New Roman"/>
        </w:rPr>
        <w:t xml:space="preserve">H1. "fls. 2195"</w:t>
      </w:r>
    </w:p>
    <w:p>
      <w:pPr>
        <w:spacing w:after="120" w:line="360"/>
        <w:jc w:val="both"/>
      </w:pPr>
      <w:r>
        <w:rPr>
          <w:rFonts w:ascii="Times New Roman" w:cs="Times New Roman" w:eastAsia="Times New Roman" w:hAnsi="Times New Roman"/>
          <w:b w:val="false"/>
          <w:bCs w:val="false"/>
          <w:i w:val="false"/>
          <w:iCs w:val="false"/>
        </w:rPr>
        <w:t xml:space="preserve">🟨 fls. 2195 e-SAJ = folha </w:t>
      </w:r>
      <w:r>
        <w:rPr>
          <w:rFonts w:ascii="Times New Roman" w:cs="Times New Roman" w:eastAsia="Times New Roman" w:hAnsi="Times New Roman"/>
          <w:b/>
          <w:bCs/>
          <w:i w:val="false"/>
          <w:iCs w:val="false"/>
        </w:rPr>
        <w:t xml:space="preserve">659 da Carta Precatória</w:t>
      </w:r>
      <w:r>
        <w:rPr>
          <w:rFonts w:ascii="Times New Roman" w:cs="Times New Roman" w:eastAsia="Times New Roman" w:hAnsi="Times New Roman"/>
          <w:b w:val="false"/>
          <w:bCs w:val="false"/>
          <w:i w:val="false"/>
          <w:iCs w:val="false"/>
        </w:rPr>
        <w:t xml:space="preserve"> 0001710-82.2007 (volume digitalizado pela Iron Mountain, liberado em 04/06/2024; imagem sem texto). O parecer Fred cita "fls. 2195" para a homologação; é provável que a CP contenha cópia da decisão de fls. 203, mas não conferi a imagem. Folha correta a citar: </w:t>
      </w:r>
      <w:r>
        <w:rPr>
          <w:rFonts w:ascii="Times New Roman" w:cs="Times New Roman" w:eastAsia="Times New Roman" w:hAnsi="Times New Roman"/>
          <w:b/>
          <w:bCs/>
          <w:i w:val="false"/>
          <w:iCs w:val="false"/>
        </w:rPr>
        <w:t xml:space="preserve">fls. 203 e-SAJ / 152 física</w:t>
      </w:r>
      <w:r>
        <w:rPr>
          <w:rFonts w:ascii="Times New Roman" w:cs="Times New Roman" w:eastAsia="Times New Roman" w:hAnsi="Times New Roman"/>
          <w:b w:val="false"/>
          <w:bCs w:val="false"/>
          <w:i w:val="false"/>
          <w:iCs w:val="false"/>
        </w:rPr>
        <w:t xml:space="preserve">.</w:t>
      </w:r>
    </w:p>
    <w:p>
      <w:pPr>
        <w:pStyle w:val="Heading2"/>
        <w:keepNext/>
      </w:pPr>
      <w:r>
        <w:rPr>
          <w:rFonts w:ascii="Times New Roman" w:cs="Times New Roman" w:eastAsia="Times New Roman" w:hAnsi="Times New Roman"/>
        </w:rPr>
        <w:t xml:space="preserve">H2. fls. 387/394 da Carta Precatória</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Não é o AREsp 2.569.822/DF.</w:t>
      </w:r>
      <w:r>
        <w:rPr>
          <w:rFonts w:ascii="Times New Roman" w:cs="Times New Roman" w:eastAsia="Times New Roman" w:hAnsi="Times New Roman"/>
          <w:b w:val="false"/>
          <w:bCs w:val="false"/>
          <w:i w:val="false"/>
          <w:iCs w:val="false"/>
        </w:rPr>
        <w:t xml:space="preserve"> Este é caso do TJDFT (Perla Carolina de Olivio x Daniel de Morais Melo Pimenta; despesas condominiais), sem relação. O agravo em recurso especial do executado é o interposto no </w:t>
      </w:r>
      <w:r>
        <w:rPr>
          <w:rFonts w:ascii="Times New Roman" w:cs="Times New Roman" w:eastAsia="Times New Roman" w:hAnsi="Times New Roman"/>
          <w:b/>
          <w:bCs/>
          <w:i w:val="false"/>
          <w:iCs w:val="false"/>
        </w:rPr>
        <w:t xml:space="preserve">AI 2236655-84.2022</w:t>
      </w:r>
      <w:r>
        <w:rPr>
          <w:rFonts w:ascii="Times New Roman" w:cs="Times New Roman" w:eastAsia="Times New Roman" w:hAnsi="Times New Roman"/>
          <w:b w:val="false"/>
          <w:bCs w:val="false"/>
          <w:i w:val="false"/>
          <w:iCs w:val="false"/>
        </w:rPr>
        <w:t xml:space="preserve"> (REsp inadmitido pela Presidência da Seção de Direito Privado em 05/05/2023, fls. 1757/1759 e-SAJ, Súmula 7). O número do AREsp no STJ não consta dos arquivos lidos. As fls. 387/394 da CP correspondem a e-SAJ </w:t>
      </w:r>
      <w:r>
        <w:rPr>
          <w:rFonts w:ascii="Times New Roman" w:cs="Times New Roman" w:eastAsia="Times New Roman" w:hAnsi="Times New Roman"/>
          <w:b/>
          <w:bCs/>
          <w:i w:val="false"/>
          <w:iCs w:val="false"/>
        </w:rPr>
        <w:t xml:space="preserve">≈ 1924/1931</w:t>
      </w:r>
      <w:r>
        <w:rPr>
          <w:rFonts w:ascii="Times New Roman" w:cs="Times New Roman" w:eastAsia="Times New Roman" w:hAnsi="Times New Roman"/>
          <w:b w:val="false"/>
          <w:bCs w:val="false"/>
          <w:i w:val="false"/>
          <w:iCs w:val="false"/>
        </w:rPr>
        <w:t xml:space="preserve"> (CP 394 = e-SAJ 1931, confirmado); não li 1924/1930.</w:t>
      </w:r>
    </w:p>
    <w:p>
      <w:pPr>
        <w:pStyle w:val="Heading2"/>
        <w:keepNext/>
      </w:pPr>
      <w:r>
        <w:rPr>
          <w:rFonts w:ascii="Times New Roman" w:cs="Times New Roman" w:eastAsia="Times New Roman" w:hAnsi="Times New Roman"/>
        </w:rPr>
        <w:t xml:space="preserve">H3. fls. 651 e-SAJ</w:t>
      </w:r>
    </w:p>
    <w:p>
      <w:pPr>
        <w:spacing w:after="120" w:line="360"/>
        <w:jc w:val="both"/>
      </w:pPr>
      <w:r>
        <w:rPr>
          <w:rFonts w:ascii="Times New Roman" w:cs="Times New Roman" w:eastAsia="Times New Roman" w:hAnsi="Times New Roman"/>
          <w:b w:val="false"/>
          <w:bCs w:val="false"/>
          <w:i w:val="false"/>
          <w:iCs w:val="false"/>
        </w:rPr>
        <w:t xml:space="preserve">🟨 Citada na decisão de 16/05/2012 ("O crédito executado seria de R$ 1.140.030,51 (fls. 651)"). É a planilha de dez/2011 juntada pelos cessionários (petição de 19/12/2011 também na CP, fls. 2583 e-SAJ / 480 física). A folha 651 dos autos principais não foi aberta; física provável ≈ 531/533 (pela diferença de 118-120 nessa região: 655→537). 🟨</w:t>
      </w:r>
    </w:p>
    <w:p>
      <w:pPr>
        <w:pStyle w:val="Heading2"/>
        <w:keepNext/>
      </w:pPr>
      <w:r>
        <w:rPr>
          <w:rFonts w:ascii="Times New Roman" w:cs="Times New Roman" w:eastAsia="Times New Roman" w:hAnsi="Times New Roman"/>
        </w:rPr>
        <w:t xml:space="preserve">H4. Tabela de correspondência (conferida por imagem, salvo indicação)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318"/>
        <w:gridCol w:w="2433"/>
        <w:gridCol w:w="3320"/>
      </w:tblGrid>
      <w:tr>
        <w:trPr>
          <w:cantSplit/>
          <w:tblHeader/>
        </w:trPr>
        <w:tc>
          <w:tcPr>
            <w:tcW w:type="dxa" w:w="331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e-SAJ</w:t>
            </w:r>
          </w:p>
        </w:tc>
        <w:tc>
          <w:tcPr>
            <w:tcW w:type="dxa" w:w="243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Física</w:t>
            </w:r>
          </w:p>
        </w:tc>
        <w:tc>
          <w:tcPr>
            <w:tcW w:type="dxa" w:w="332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Documento</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27</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02</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inicial (não conferi a 1ª página; a numeração do prompt é coerente com 31→06)</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31</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06</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inicial, pedido e valor da causa</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39</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12</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cédula 52/559</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40</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(verso/registro)</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registro no CRI, 13/05/1987</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52</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23</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cite-se</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54</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24</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mandado</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67</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46? (carimbo parcialmente legível)</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certidão de decurso do mandado, 08/04/1988</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120 / 122</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79 / 81</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laudo de avaliação (Maria Angélica Carbonieri)</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165</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122</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1ª conta (06/02/1995)</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174 / 175</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129 / 130</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impugnação Banespa</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177</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132 (rubrica)</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cálculo Banespa 02/03/1995</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178</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"133" (divergente do "131" citado no agravo)</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remessa ao contador</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179</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n/d</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informação do contador</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180 a 183</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134 a 137</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conta retificada</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185/186</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138/139 (🟨 não aberta)</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habilitação Bradesco</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202</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151</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Banespa nada opõe</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203</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152</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homologação</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204</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n/d (verso de 152)</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certidões</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655 a 660</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537 a 542</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petição e cessão (31/03/2010)</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661</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n/d</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reconhecimentos de firma</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786 / 787 / 788 / 790</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657 / 658 / 659 / 660</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decisões de 26/04 e 16/05/2012</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913 → 1057</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913</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decisão 27/04/2017 (o carimbo físico é 913; e-SAJ 1057)</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1671 a 1676</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537 a 542 (cópia)</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cessão (cópia juntada em 2022)</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1931 a 1934</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CP 394 a 397</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certidão do AI 2236655; decisão 14/03/2024</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1944 a 1951</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CP 407 a 414</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planilha 19/04/2024</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2137 a 2139</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CP 600 a 602 / 148 a 150</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Santander 12/09/2007</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2402 / 2403</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CP 865 / 866</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Santander 10/07/2009</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2572</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CP 1035</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cessionários 22/08/2011</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2583</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CP 1046 / 480</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cessionários 19/12/2011</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2885</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CP 1348</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planilha out/2019</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3038 a 3044; 3064 a 3066; 3077/3078; 3082/3084; 3345 a 3351; 3394 a 3403; 3407 a 3419; 3435 a 3437; 3441 a 3459</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n/d (digitais)</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bl>
    <w:p>
      <w:pPr>
        <w:spacing w:after="120"/>
      </w:pPr>
    </w:p>
    <w:p>
      <w:pPr>
        <w:spacing w:after="120" w:line="360"/>
        <w:jc w:val="both"/>
      </w:pPr>
      <w:r>
        <w:rPr>
          <w:rFonts w:ascii="Times New Roman" w:cs="Times New Roman" w:eastAsia="Times New Roman" w:hAnsi="Times New Roman"/>
          <w:b/>
          <w:bCs/>
          <w:i w:val="false"/>
          <w:iCs w:val="false"/>
        </w:rPr>
        <w:t xml:space="preserve">Acréscimos da v2 (conferidos por imagem em fls. 55 a 173):</w:t>
      </w:r>
      <w:r>
        <w:rPr>
          <w:rFonts w:ascii="Times New Roman" w:cs="Times New Roman" w:eastAsia="Times New Roman" w:hAnsi="Times New Roman"/>
          <w:b w:val="false"/>
          <w:bCs w:val="false"/>
          <w:i w:val="false"/>
          <w:iCs w:val="false"/>
        </w:rPr>
        <w:t xml:space="preserve"> 55→24 (inf.); 56→25 (auto de penhora, 16/11/1987); 58→26; 59→27; 60→28; 61→29; 62→30; 64→32; 65→33; 66→34; 67→35; 69→36 (certidão de apensamento dos embargos, 14/04/1988); 70→37; 71→38; 72→39; 73→40; 74→41 (mandado a Leonel, 14/10/1988); 76→42; 77→42v (suspensão dos embargos, 18/01/1989); 79→44; 81→46; 83→48; 84→49; 85/87→50/52 (sentença da consignatória, 05/09/1989); 88→53; 89/90→53v/54 ("Prossiga-se com os embargos", 09/03/1990); 91→55 (nomeação da perita, 29/12/1993); 93→56; 96→58; 97→58v; 99→60; 101→62; 103→64; 105/134→66/93 (laudo, 31/05/1994, CR$ 1.156.030.000,00); 160→119; 162→120; 163→121; 164→121v (remessa ao contador, 23/06/1994); 165/168→122/125 (1ª conta); 169→126; 171→127; 172→128; 173→128v. Diferença e-SAJ − física nesse trecho: 31 até fls. 60; 33 a partir de fls. 69; 43 a partir de fls. 165. Folha 111 e-SAJ é estranha ao processo (despacho de 12/11/2012 do Serviço Anexo das Fazendas, proc. 6.664/2006, intercalado no laudo).</w:t>
      </w:r>
    </w:p>
    <w:p>
      <w:pPr>
        <w:pStyle w:val="Heading2"/>
        <w:keepNext/>
      </w:pPr>
      <w:r>
        <w:rPr>
          <w:rFonts w:ascii="Times New Roman" w:cs="Times New Roman" w:eastAsia="Times New Roman" w:hAnsi="Times New Roman"/>
        </w:rPr>
        <w:t xml:space="preserve">H5. Embargos 0015252-76.2006</w:t>
      </w:r>
    </w:p>
    <w:p>
      <w:pPr>
        <w:spacing w:after="120" w:line="360"/>
        <w:jc w:val="both"/>
      </w:pPr>
      <w:r>
        <w:rPr>
          <w:rFonts w:ascii="Times New Roman" w:cs="Times New Roman" w:eastAsia="Times New Roman" w:hAnsi="Times New Roman"/>
          <w:b w:val="false"/>
          <w:bCs w:val="false"/>
          <w:i w:val="false"/>
          <w:iCs w:val="false"/>
        </w:rPr>
        <w:t xml:space="preserve">🟨 Dentro da execução, o que remete aos embargos: fls. 69 e-SAJ / 36 física (certidão de apensamento, 14/04/1988); fls. 74 / 41 (mandado com despacho de 28/09/1988 proferido nos embargos, "fls. 24 dos embargos"); fls. 77 / 42v (suspensão, 18/01/1989); fls. 89/90 / 53v/54 ("Prossiga-se com os embargos em apenso", 09/03/1990); fls. 23 e-SAJ (certidão de 26/04/2024 sobre digitalização de peças "fls. 54 (atual fls.60), fls. 62 (atual fls. 69) e fls. 63 (atual fls. 70) do processo número 0015252-76.2006"); fls. 1419/1421 (executado); fls. 1483 (exequentes: sentença 03/05/1991, fls. 32/47, trânsito fls. 85 dos autos digitalizados); fls. 2137/2139 (Santander, 2007, "cópias autenticadas da sentença e acórdão anexa" — cópias provavelmente em fls. 2140/2160 e-SAJ, imagens não lidas); fls. 3038 ("Houve oposição de embargos do devedor (…) que foi julgado"). Os dois PDFs dos embargos no Drive são apenas extratos de andamento (entrada 13/04/1988; apensamento 15/03/2013; arquivamento 06/12/2019; digitalização 31/01/2024; arquivamento definitivo 30/04/2024; eliminação do papel 05/02/2026). </w:t>
      </w:r>
      <w:r>
        <w:rPr>
          <w:rFonts w:ascii="Times New Roman" w:cs="Times New Roman" w:eastAsia="Times New Roman" w:hAnsi="Times New Roman"/>
          <w:b/>
          <w:bCs/>
          <w:i w:val="false"/>
          <w:iCs w:val="false"/>
        </w:rPr>
        <w:t xml:space="preserve">A sentença e o acórdão não estão em nenhum arquivo recebido.</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BLOCO I — CONFERÊNCIA DA AUDITORIA DO GEMINI 1.5 PRO (27/09/2026, 18:04:50)</w:t>
      </w:r>
    </w:p>
    <w:p>
      <w:pPr>
        <w:spacing w:after="120" w:line="360"/>
        <w:jc w:val="both"/>
      </w:pPr>
      <w:r>
        <w:rPr>
          <w:rFonts w:ascii="Times New Roman" w:cs="Times New Roman" w:eastAsia="Times New Roman" w:hAnsi="Times New Roman"/>
          <w:b/>
          <w:bCs/>
          <w:i w:val="false"/>
          <w:iCs w:val="false"/>
        </w:rPr>
        <w:t xml:space="preserve">Conclusão geral:</w:t>
      </w:r>
      <w:r>
        <w:rPr>
          <w:rFonts w:ascii="Times New Roman" w:cs="Times New Roman" w:eastAsia="Times New Roman" w:hAnsi="Times New Roman"/>
          <w:b w:val="false"/>
          <w:bCs w:val="false"/>
          <w:i w:val="false"/>
          <w:iCs w:val="false"/>
        </w:rPr>
        <w:t xml:space="preserve"> 🟥 a auditoria do Gemini </w:t>
      </w:r>
      <w:r>
        <w:rPr>
          <w:rFonts w:ascii="Times New Roman" w:cs="Times New Roman" w:eastAsia="Times New Roman" w:hAnsi="Times New Roman"/>
          <w:b/>
          <w:bCs/>
          <w:i w:val="false"/>
          <w:iCs w:val="false"/>
        </w:rPr>
        <w:t xml:space="preserve">não deve ser usada como base dos memoriais</w:t>
      </w:r>
      <w:r>
        <w:rPr>
          <w:rFonts w:ascii="Times New Roman" w:cs="Times New Roman" w:eastAsia="Times New Roman" w:hAnsi="Times New Roman"/>
          <w:b w:val="false"/>
          <w:bCs w:val="false"/>
          <w:i w:val="false"/>
          <w:iCs w:val="false"/>
        </w:rPr>
        <w:t xml:space="preserve">. Ela acerta a estrutura e vários números da conta de 1995, mas tem cinco erros graves que expõem os exequentes. (1) Declara "Tenho todos os documentos" e "3.840 de 3.840 páginas lidas", o que é falso: faltam a contraminuta, a sentença dos embargos e a fls. 3404. (2) Apresenta como favorável o REsp 1.538.235/DF, que afasta a preclusão da conta homologada pelo contador. (3) Atribui à fls. 3065 uma "certidão" de que os 20% não foram impugnados, quando a folha diz o contrário. (4) Omite totalmente o risco do </w:t>
      </w:r>
      <w:r>
        <w:rPr>
          <w:rFonts w:ascii="Times New Roman" w:cs="Times New Roman" w:eastAsia="Times New Roman" w:hAnsi="Times New Roman"/>
          <w:b w:val="false"/>
          <w:bCs w:val="false"/>
          <w:i/>
          <w:iCs/>
        </w:rPr>
        <w:t xml:space="preserve">venire</w:t>
      </w:r>
      <w:r>
        <w:rPr>
          <w:rFonts w:ascii="Times New Roman" w:cs="Times New Roman" w:eastAsia="Times New Roman" w:hAnsi="Times New Roman"/>
          <w:b w:val="false"/>
          <w:bCs w:val="false"/>
          <w:i w:val="false"/>
          <w:iCs w:val="false"/>
        </w:rPr>
        <w:t xml:space="preserve"> e das planilhas desde 1987. (5) Recomenda sustentação oral e pedido principal de R$ 185 milhões.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46"/>
        <w:gridCol w:w="3628"/>
        <w:gridCol w:w="3628"/>
        <w:gridCol w:w="969"/>
      </w:tblGrid>
      <w:tr>
        <w:trPr>
          <w:cantSplit/>
          <w:tblHeader/>
        </w:trPr>
        <w:tc>
          <w:tcPr>
            <w:tcW w:type="dxa" w:w="84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Item do Gemini</w:t>
            </w:r>
          </w:p>
        </w:tc>
        <w:tc>
          <w:tcPr>
            <w:tcW w:type="dxa" w:w="362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Afirmação</w:t>
            </w:r>
          </w:p>
        </w:tc>
        <w:tc>
          <w:tcPr>
            <w:tcW w:type="dxa" w:w="362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Conferência nos autos e na pasta</w:t>
            </w:r>
          </w:p>
        </w:tc>
        <w:tc>
          <w:tcPr>
            <w:tcW w:type="dxa" w:w="969"/>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Sinal</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Cabeçalho</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"Tenho todos os documentos"; "3.840 de 3.840 páginas"</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Contraminuta, sentença e acórdão dos embargos e fls. 3404 não estão em nenhum arquivo. O próprio Gemini não cita nenhuma dessas peças.</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A1</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Banespa "R$ 4.232.889,00"</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 documento diz </w:t>
            </w:r>
            <w:r>
              <w:rPr>
                <w:rFonts w:ascii="Times New Roman" w:cs="Times New Roman" w:eastAsia="Times New Roman" w:hAnsi="Times New Roman"/>
                <w:b/>
                <w:bCs/>
                <w:i w:val="false"/>
                <w:iCs w:val="false"/>
                <w:sz w:val="19"/>
                <w:szCs w:val="19"/>
              </w:rPr>
              <w:t xml:space="preserve">R$ 4.232.859,19</w:t>
            </w:r>
            <w:r>
              <w:rPr>
                <w:rFonts w:ascii="Times New Roman" w:cs="Times New Roman" w:eastAsia="Times New Roman" w:hAnsi="Times New Roman"/>
                <w:b w:val="false"/>
                <w:bCs w:val="false"/>
                <w:i w:val="false"/>
                <w:iCs w:val="false"/>
                <w:sz w:val="19"/>
                <w:szCs w:val="19"/>
              </w:rPr>
              <w:t xml:space="preserve"> (fls. 177 e-SAJ / 132 física).</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número errado</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A1</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Total R$ 6.975.016,65 = saldo + multa R$ 525.673,39 + honorários 20% R$ 1.156.481,45 + custas</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Confere (fls. 180 e-SAJ / 134 física). Custas R$ 35.444,45 e despesas R$ 683,51.</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A1</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1ª conta errou "ao calcular juros de forma simples"</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Não demonstrado. A 1ª conta (fls. 165 e-SAJ / 122 física) foi impugnada pelo Banespa por outros critérios (fls. 174/175 e-SAJ / 129/130 física).</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A3</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509, § 4º, "🟩" para título extrajudicial</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 dispositivo trata de liquidação de sentença. Aqui é execução de título extrajudicial com conta de 1995 (CPC/73, art. 604). Serve só por analogia.</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A4</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e TJSP "pacificaram" o tema; REsp 1.538.235/DF é favorável</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w:t>
            </w:r>
            <w:r>
              <w:rPr>
                <w:rFonts w:ascii="Times New Roman" w:cs="Times New Roman" w:eastAsia="Times New Roman" w:hAnsi="Times New Roman"/>
                <w:b/>
                <w:bCs/>
                <w:i w:val="false"/>
                <w:iCs w:val="false"/>
                <w:sz w:val="19"/>
                <w:szCs w:val="19"/>
              </w:rPr>
              <w:t xml:space="preserve">REsp 1.538.235/DF</w:t>
            </w:r>
            <w:r>
              <w:rPr>
                <w:rFonts w:ascii="Times New Roman" w:cs="Times New Roman" w:eastAsia="Times New Roman" w:hAnsi="Times New Roman"/>
                <w:b w:val="false"/>
                <w:bCs w:val="false"/>
                <w:i w:val="false"/>
                <w:iCs w:val="false"/>
                <w:sz w:val="19"/>
                <w:szCs w:val="19"/>
              </w:rPr>
              <w:t xml:space="preserve"> (3ª T., Rel. Min. Nancy Andrighi, j. 14/05/2019, DJe 29/05/2019), lido na íntegra no Drive: "HOMOLOGAÇÃO DOS CÁLCULOS POR CONTADOR JUDICIAL (…) PRECLUSÃO AFASTADA". A homologação do contador antes da penhora "não é ato judicial hábil a definir, necessariamente, o valor da execução". É </w:t>
            </w:r>
            <w:r>
              <w:rPr>
                <w:rFonts w:ascii="Times New Roman" w:cs="Times New Roman" w:eastAsia="Times New Roman" w:hAnsi="Times New Roman"/>
                <w:b/>
                <w:bCs/>
                <w:i w:val="false"/>
                <w:iCs w:val="false"/>
                <w:sz w:val="19"/>
                <w:szCs w:val="19"/>
              </w:rPr>
              <w:t xml:space="preserve">contrário</w:t>
            </w:r>
            <w:r>
              <w:rPr>
                <w:rFonts w:ascii="Times New Roman" w:cs="Times New Roman" w:eastAsia="Times New Roman" w:hAnsi="Times New Roman"/>
                <w:b w:val="false"/>
                <w:bCs w:val="false"/>
                <w:i w:val="false"/>
                <w:iCs w:val="false"/>
                <w:sz w:val="19"/>
                <w:szCs w:val="19"/>
              </w:rPr>
              <w:t xml:space="preserve">. Ver a distinção abaixo.</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A5</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AI 2236642 limitou a exceção à "tese única"</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Confere (fls. 3345/3351 e-SAJ).</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A6</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"Nenhuma decisão (…) desconstituiu"; "exequentes jamais deixaram de recorrer"; decisão de "fls. 786/790 e-SAJ / 657/660 física (16/05/2012)"</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Os exequentes </w:t>
            </w:r>
            <w:r>
              <w:rPr>
                <w:rFonts w:ascii="Times New Roman" w:cs="Times New Roman" w:eastAsia="Times New Roman" w:hAnsi="Times New Roman"/>
                <w:b/>
                <w:bCs/>
                <w:i w:val="false"/>
                <w:iCs w:val="false"/>
                <w:sz w:val="19"/>
                <w:szCs w:val="19"/>
              </w:rPr>
              <w:t xml:space="preserve">não agravaram</w:t>
            </w:r>
            <w:r>
              <w:rPr>
                <w:rFonts w:ascii="Times New Roman" w:cs="Times New Roman" w:eastAsia="Times New Roman" w:hAnsi="Times New Roman"/>
                <w:b w:val="false"/>
                <w:bCs w:val="false"/>
                <w:i w:val="false"/>
                <w:iCs w:val="false"/>
                <w:sz w:val="19"/>
                <w:szCs w:val="19"/>
              </w:rPr>
              <w:t xml:space="preserve"> de fls. 3064/3066 e apresentaram a planilha de fls. 3077/3078 sem ressalva. A cessão está em fls. 655/660 e-SAJ / 537/542 física. A correspondência "786/790 = 657/660" não existe.</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B1</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52 diz "</w:t>
            </w:r>
            <w:r>
              <w:rPr>
                <w:rFonts w:ascii="Times New Roman" w:cs="Times New Roman" w:eastAsia="Times New Roman" w:hAnsi="Times New Roman"/>
                <w:b/>
                <w:bCs/>
                <w:i w:val="false"/>
                <w:iCs w:val="false"/>
                <w:sz w:val="19"/>
                <w:szCs w:val="19"/>
              </w:rPr>
              <w:t xml:space="preserve">10%</w:t>
            </w:r>
            <w:r>
              <w:rPr>
                <w:rFonts w:ascii="Times New Roman" w:cs="Times New Roman" w:eastAsia="Times New Roman" w:hAnsi="Times New Roman"/>
                <w:b w:val="false"/>
                <w:bCs w:val="false"/>
                <w:i w:val="false"/>
                <w:iCs w:val="false"/>
                <w:sz w:val="19"/>
                <w:szCs w:val="19"/>
              </w:rPr>
              <w:t xml:space="preserve">" 🟩</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 algarismo é ilegível na imagem. O Gemini </w:t>
            </w:r>
            <w:r>
              <w:rPr>
                <w:rFonts w:ascii="Times New Roman" w:cs="Times New Roman" w:eastAsia="Times New Roman" w:hAnsi="Times New Roman"/>
                <w:b/>
                <w:bCs/>
                <w:i w:val="false"/>
                <w:iCs w:val="false"/>
                <w:sz w:val="19"/>
                <w:szCs w:val="19"/>
              </w:rPr>
              <w:t xml:space="preserve">omite</w:t>
            </w:r>
            <w:r>
              <w:rPr>
                <w:rFonts w:ascii="Times New Roman" w:cs="Times New Roman" w:eastAsia="Times New Roman" w:hAnsi="Times New Roman"/>
                <w:b w:val="false"/>
                <w:bCs w:val="false"/>
                <w:i w:val="false"/>
                <w:iCs w:val="false"/>
                <w:sz w:val="19"/>
                <w:szCs w:val="19"/>
              </w:rPr>
              <w:t xml:space="preserve"> que a fixação era condicional ("em caso de pagamento ou de não apresentação de embargos"), o que é o dado decisivo. Ver B1.</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B2</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Cédula em "fls. 40 / 12"</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cláusula 5 está em fls. 39 e-SAJ / 12 física.</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B2</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3065 "atesta que honorários de 20% NÃO foram impugnados"</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Fls. 3065 diz o oposto: o executado alegou "cobrança indevida de honorários sucumbenciais não incluídos na cessão", e o juiz não conheceu porque era "matéria nova". Não há atestado de ausência de impugnação. Usar isso nos memoriais seria afirmação falsa (art. 80, II).</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B4</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20% sobre saldo + multa = R$ 1.156.481,45; fls. 202 = concordância do Banespa</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Confere.</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C1/C2</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Mora 1% a.m. amparada pelo DL 413/69 e pela Súmula 93</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Omite o ponto fraco: o DL 413/69, art. 5º, parágrafo único, limita a elevação por mora a 1% </w:t>
            </w:r>
            <w:r>
              <w:rPr>
                <w:rFonts w:ascii="Times New Roman" w:cs="Times New Roman" w:eastAsia="Times New Roman" w:hAnsi="Times New Roman"/>
                <w:b/>
                <w:bCs/>
                <w:i w:val="false"/>
                <w:iCs w:val="false"/>
                <w:sz w:val="19"/>
                <w:szCs w:val="19"/>
              </w:rPr>
              <w:t xml:space="preserve">ao ano</w:t>
            </w:r>
            <w:r>
              <w:rPr>
                <w:rFonts w:ascii="Times New Roman" w:cs="Times New Roman" w:eastAsia="Times New Roman" w:hAnsi="Times New Roman"/>
                <w:b w:val="false"/>
                <w:bCs w:val="false"/>
                <w:i w:val="false"/>
                <w:iCs w:val="false"/>
                <w:sz w:val="19"/>
                <w:szCs w:val="19"/>
              </w:rPr>
              <w:t xml:space="preserve">. Defesa correta: critério coberto pela preclusão, e não erro material.</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C4</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Cessão em "fls. 580/586 / 537/543"; "cessão de 2010 a pessoas físicas" pelo REsp 1.984.424</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Folhas corretas: 655/660 e-SAJ / 537/542 física (31/03/2010). O REsp 1.984.424 trata de Cédula de Crédito Bancário e deve ser usado por analogia (art. 893 CC; Tema 361/STF).</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C5</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Pedido principal = homologar R$ 185 milhões</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Contraria o F2 e o C5 desta auditoria. Pedido de valor no agravo configura supressão de instância (AI 2236642) e expõe o credor ao </w:t>
            </w:r>
            <w:r>
              <w:rPr>
                <w:rFonts w:ascii="Times New Roman" w:cs="Times New Roman" w:eastAsia="Times New Roman" w:hAnsi="Times New Roman"/>
                <w:b w:val="false"/>
                <w:bCs w:val="false"/>
                <w:i/>
                <w:iCs/>
                <w:sz w:val="19"/>
                <w:szCs w:val="19"/>
              </w:rPr>
              <w:t xml:space="preserve">venire</w:t>
            </w:r>
            <w:r>
              <w:rPr>
                <w:rFonts w:ascii="Times New Roman" w:cs="Times New Roman" w:eastAsia="Times New Roman" w:hAnsi="Times New Roman"/>
                <w:b w:val="false"/>
                <w:bCs w:val="false"/>
                <w:i w:val="false"/>
                <w:iCs w:val="false"/>
                <w:sz w:val="19"/>
                <w:szCs w:val="19"/>
              </w:rPr>
              <w:t xml:space="preserve">.</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1.538.235/DF como "substituto" do 1.861.550</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Ver A4: é contrário.</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E1</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Relatora chamou o executado de "devedor contumaz"</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expressão é da decisão de Chavantes de 14/03/2024 (fls. 1932 e-SAJ), e não do acórdão. Atribuí-la à Relatora é erro de citação.</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1.000, p.u., e REsp 2.018.575</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Correto, mas o Gemini não enfrenta o fato de que os exequentes não agravaram de fls. 3066 nem as planilhas desde 1987.</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incompleto</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G</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"Oposição ao julgamento virtual (…) para sustentação oral (art. 937, VIII)"</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Sustentação oral </w:t>
            </w:r>
            <w:r>
              <w:rPr>
                <w:rFonts w:ascii="Times New Roman" w:cs="Times New Roman" w:eastAsia="Times New Roman" w:hAnsi="Times New Roman"/>
                <w:b/>
                <w:bCs/>
                <w:i w:val="false"/>
                <w:iCs w:val="false"/>
                <w:sz w:val="19"/>
                <w:szCs w:val="19"/>
              </w:rPr>
              <w:t xml:space="preserve">não cabe</w:t>
            </w:r>
            <w:r>
              <w:rPr>
                <w:rFonts w:ascii="Times New Roman" w:cs="Times New Roman" w:eastAsia="Times New Roman" w:hAnsi="Times New Roman"/>
                <w:b w:val="false"/>
                <w:bCs w:val="false"/>
                <w:i w:val="false"/>
                <w:iCs w:val="false"/>
                <w:sz w:val="19"/>
                <w:szCs w:val="19"/>
              </w:rPr>
              <w:t xml:space="preserve"> (o agravo não versa sobre tutela provisória). A Resolução citável agora é a 984/2025.</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G</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Memoriais "com pedido de juntada (arts. 435 e 493)"</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Correto quanto ao fundamento.</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Petição inicial "Pág. 27 / Fl. 02"</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Compatível: a inicial começa em fls. 27 e-SAJ, e o pedido de honorários está em fls. 31 e-SAJ / 06 física.</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"Decisão Rejeitando Exceção (Multa 9%)" fls. 3038/3044</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decisão de fls. 3038/3044 rejeita a exceção. O rótulo "Multa 9%" não foi localizado.</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Riscos</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"Preclusão lógica (fl. 3078): probabilidade </w:t>
            </w:r>
            <w:r>
              <w:rPr>
                <w:rFonts w:ascii="Times New Roman" w:cs="Times New Roman" w:eastAsia="Times New Roman" w:hAnsi="Times New Roman"/>
                <w:b/>
                <w:bCs/>
                <w:i w:val="false"/>
                <w:iCs w:val="false"/>
                <w:sz w:val="19"/>
                <w:szCs w:val="19"/>
              </w:rPr>
              <w:t xml:space="preserve">baixa</w:t>
            </w:r>
            <w:r>
              <w:rPr>
                <w:rFonts w:ascii="Times New Roman" w:cs="Times New Roman" w:eastAsia="Times New Roman" w:hAnsi="Times New Roman"/>
                <w:b w:val="false"/>
                <w:bCs w:val="false"/>
                <w:i w:val="false"/>
                <w:iCs w:val="false"/>
                <w:sz w:val="19"/>
                <w:szCs w:val="19"/>
              </w:rPr>
              <w:t xml:space="preserve">"; honorários "baixa"</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Subestimados. Esta auditoria classifica a preclusão contra os exequentes como risco </w:t>
            </w:r>
            <w:r>
              <w:rPr>
                <w:rFonts w:ascii="Times New Roman" w:cs="Times New Roman" w:eastAsia="Times New Roman" w:hAnsi="Times New Roman"/>
                <w:b/>
                <w:bCs/>
                <w:i w:val="false"/>
                <w:iCs w:val="false"/>
                <w:sz w:val="19"/>
                <w:szCs w:val="19"/>
              </w:rPr>
              <w:t xml:space="preserve">alto</w:t>
            </w:r>
            <w:r>
              <w:rPr>
                <w:rFonts w:ascii="Times New Roman" w:cs="Times New Roman" w:eastAsia="Times New Roman" w:hAnsi="Times New Roman"/>
                <w:b w:val="false"/>
                <w:bCs w:val="false"/>
                <w:i w:val="false"/>
                <w:iCs w:val="false"/>
                <w:sz w:val="19"/>
                <w:szCs w:val="19"/>
              </w:rPr>
              <w:t xml:space="preserve">.</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bl>
    <w:p>
      <w:pPr>
        <w:spacing w:after="120"/>
      </w:pPr>
    </w:p>
    <w:p>
      <w:pPr>
        <w:spacing w:after="120" w:line="360"/>
        <w:jc w:val="both"/>
      </w:pPr>
      <w:r>
        <w:rPr>
          <w:rFonts w:ascii="Times New Roman" w:cs="Times New Roman" w:eastAsia="Times New Roman" w:hAnsi="Times New Roman"/>
          <w:b/>
          <w:bCs/>
          <w:i w:val="false"/>
          <w:iCs w:val="false"/>
        </w:rPr>
        <w:t xml:space="preserve">Distinção do REsp 1.538.235/DF, se o executado o invocar.</w:t>
      </w:r>
    </w:p>
    <w:p>
      <w:pPr>
        <w:pStyle w:val="ListParagraph"/>
        <w:numPr>
          <w:ilvl w:val="0"/>
          <w:numId w:val="4"/>
        </w:numPr>
        <w:spacing w:after="80" w:line="340"/>
        <w:jc w:val="both"/>
      </w:pPr>
      <w:r>
        <w:rPr>
          <w:rFonts w:ascii="Times New Roman" w:cs="Times New Roman" w:eastAsia="Times New Roman" w:hAnsi="Times New Roman"/>
          <w:b/>
          <w:bCs/>
          <w:i w:val="false"/>
          <w:iCs w:val="false"/>
        </w:rPr>
        <w:t xml:space="preserve">Rito e fase diferentes.</w:t>
      </w:r>
      <w:r>
        <w:rPr>
          <w:rFonts w:ascii="Times New Roman" w:cs="Times New Roman" w:eastAsia="Times New Roman" w:hAnsi="Times New Roman"/>
          <w:b w:val="false"/>
          <w:bCs w:val="false"/>
          <w:i w:val="false"/>
          <w:iCs w:val="false"/>
        </w:rPr>
        <w:t xml:space="preserve"> Lá havia cumprimento de sentença pelo art. 475-B, §§ 3º e 4º, do CPC/73 (Lei 11.232/2005). A remessa ao contador servia só para "definir o montante da penhora", antes da penhora e antes da oportunidade legal de impugnar. Aqui a conta de 1995 foi elaborada </w:t>
      </w:r>
      <w:r>
        <w:rPr>
          <w:rFonts w:ascii="Times New Roman" w:cs="Times New Roman" w:eastAsia="Times New Roman" w:hAnsi="Times New Roman"/>
          <w:b/>
          <w:bCs/>
          <w:i w:val="false"/>
          <w:iCs w:val="false"/>
        </w:rPr>
        <w:t xml:space="preserve">depois</w:t>
      </w:r>
      <w:r>
        <w:rPr>
          <w:rFonts w:ascii="Times New Roman" w:cs="Times New Roman" w:eastAsia="Times New Roman" w:hAnsi="Times New Roman"/>
          <w:b w:val="false"/>
          <w:bCs w:val="false"/>
          <w:i w:val="false"/>
          <w:iCs w:val="false"/>
        </w:rPr>
        <w:t xml:space="preserve"> de embargos à execução opostos e julgados, após impugnação do próprio credor (fls. 174/175 e-SAJ / 129/130 física) e retificação pela Contadoria. Houve decisão homologatória publicada (fls. 203 e-SAJ / 152 física) e certidão de decurso de prazo (fls. 204 e-SAJ).</w:t>
      </w:r>
    </w:p>
    <w:p>
      <w:pPr>
        <w:pStyle w:val="ListParagraph"/>
        <w:numPr>
          <w:ilvl w:val="0"/>
          <w:numId w:val="4"/>
        </w:numPr>
        <w:spacing w:after="80" w:line="340"/>
        <w:jc w:val="both"/>
      </w:pPr>
      <w:r>
        <w:rPr>
          <w:rFonts w:ascii="Times New Roman" w:cs="Times New Roman" w:eastAsia="Times New Roman" w:hAnsi="Times New Roman"/>
          <w:b/>
          <w:bCs/>
          <w:i w:val="false"/>
          <w:iCs w:val="false"/>
        </w:rPr>
        <w:t xml:space="preserve">O devedor já tinha exercido a defesa típica.</w:t>
      </w:r>
      <w:r>
        <w:rPr>
          <w:rFonts w:ascii="Times New Roman" w:cs="Times New Roman" w:eastAsia="Times New Roman" w:hAnsi="Times New Roman"/>
          <w:b w:val="false"/>
          <w:bCs w:val="false"/>
          <w:i w:val="false"/>
          <w:iCs w:val="false"/>
        </w:rPr>
        <w:t xml:space="preserve"> Os embargos são de 1988 e foram julgados em 1991. O fundamento do STJ foi que o devedor ainda não tivera o momento processual próprio para alegar excesso. Aqui esse momento passou há 35 anos.</w:t>
      </w:r>
    </w:p>
    <w:p>
      <w:pPr>
        <w:pStyle w:val="ListParagraph"/>
        <w:numPr>
          <w:ilvl w:val="0"/>
          <w:numId w:val="4"/>
        </w:numPr>
        <w:spacing w:after="80" w:line="340"/>
        <w:jc w:val="both"/>
      </w:pPr>
      <w:r>
        <w:rPr>
          <w:rFonts w:ascii="Times New Roman" w:cs="Times New Roman" w:eastAsia="Times New Roman" w:hAnsi="Times New Roman"/>
          <w:b/>
          <w:bCs/>
          <w:i w:val="false"/>
          <w:iCs w:val="false"/>
        </w:rPr>
        <w:t xml:space="preserve">A Relatora e o STJ tratam a homologação exauriente como preclusa.</w:t>
      </w:r>
      <w:r>
        <w:rPr>
          <w:rFonts w:ascii="Times New Roman" w:cs="Times New Roman" w:eastAsia="Times New Roman" w:hAnsi="Times New Roman"/>
          <w:b w:val="false"/>
          <w:bCs w:val="false"/>
          <w:i w:val="false"/>
          <w:iCs w:val="false"/>
        </w:rPr>
        <w:t xml:space="preserve"> Ver AI 2353386 ("preclusão pro iudicato"; "retrocesso indevido"), EDcl/EREsp 1.229.406 e AgInt no REsp 2.127.021.</w:t>
      </w:r>
    </w:p>
    <w:p>
      <w:pPr>
        <w:pStyle w:val="ListParagraph"/>
        <w:numPr>
          <w:ilvl w:val="0"/>
          <w:numId w:val="4"/>
        </w:numPr>
        <w:spacing w:after="80" w:line="340"/>
        <w:jc w:val="both"/>
      </w:pPr>
      <w:r>
        <w:rPr>
          <w:rFonts w:ascii="Times New Roman" w:cs="Times New Roman" w:eastAsia="Times New Roman" w:hAnsi="Times New Roman"/>
          <w:b/>
          <w:bCs/>
          <w:i w:val="false"/>
          <w:iCs w:val="false"/>
        </w:rPr>
        <w:t xml:space="preserve">Voto vencido favorável.</w:t>
      </w:r>
      <w:r>
        <w:rPr>
          <w:rFonts w:ascii="Times New Roman" w:cs="Times New Roman" w:eastAsia="Times New Roman" w:hAnsi="Times New Roman"/>
          <w:b w:val="false"/>
          <w:bCs w:val="false"/>
          <w:i w:val="false"/>
          <w:iCs w:val="false"/>
        </w:rPr>
        <w:t xml:space="preserve"> O voto original da própria Relatora, depois retificado, reconhecia a "preclusão lógica" pela inércia do devedor intimado sobre os cálculos. Não citar como precedente, mas conhecer o argumento.</w:t>
      </w:r>
    </w:p>
    <w:p>
      <w:pPr>
        <w:pStyle w:val="Heading1"/>
        <w:keepNext/>
      </w:pPr>
      <w:r>
        <w:rPr>
          <w:rFonts w:ascii="Times New Roman" w:cs="Times New Roman" w:eastAsia="Times New Roman" w:hAnsi="Times New Roman"/>
        </w:rPr>
        <w:t xml:space="preserve">TABELA-RESUMO DE RISCOS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12"/>
        <w:gridCol w:w="1253"/>
        <w:gridCol w:w="1991"/>
        <w:gridCol w:w="2212"/>
        <w:gridCol w:w="1403"/>
      </w:tblGrid>
      <w:tr>
        <w:trPr>
          <w:cantSplit/>
          <w:tblHeader/>
        </w:trPr>
        <w:tc>
          <w:tcPr>
            <w:tcW w:type="dxa" w:w="221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Risco</w:t>
            </w:r>
          </w:p>
        </w:tc>
        <w:tc>
          <w:tcPr>
            <w:tcW w:type="dxa" w:w="125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Prob.</w:t>
            </w:r>
          </w:p>
        </w:tc>
        <w:tc>
          <w:tcPr>
            <w:tcW w:type="dxa" w:w="199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Impacto</w:t>
            </w:r>
          </w:p>
        </w:tc>
        <w:tc>
          <w:tcPr>
            <w:tcW w:type="dxa" w:w="221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Resposta</w:t>
            </w:r>
          </w:p>
        </w:tc>
        <w:tc>
          <w:tcPr>
            <w:tcW w:type="dxa" w:w="140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Fonte</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Preclusão contra os exequentes: fls. 3066 não agravada e fls. 3077/3078 sem ressalva</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alta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fatal ao pedido principal</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A2 (fls. 3066 decidiu além dos embargos), A6 (nenhuma decisão anterior fixou método), F1 (art. 1.000, p.u.; REsp 2.018.575)</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3064/3066; 3077/3078; 3082/3084</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iCs/>
                <w:sz w:val="19"/>
                <w:szCs w:val="19"/>
              </w:rPr>
              <w:t xml:space="preserve">Venire</w:t>
            </w:r>
            <w:r>
              <w:rPr>
                <w:rFonts w:ascii="Times New Roman" w:cs="Times New Roman" w:eastAsia="Times New Roman" w:hAnsi="Times New Roman"/>
                <w:b w:val="false"/>
                <w:bCs w:val="false"/>
                <w:i w:val="false"/>
                <w:iCs w:val="false"/>
                <w:sz w:val="19"/>
                <w:szCs w:val="19"/>
              </w:rPr>
              <w:t xml:space="preserve">: 19 anos de planilhas desde 1987, "mera liberalidade" do Santander</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alta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reduz o pedido a "piso"; pode levar a preclusão lógica</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F2: admitir, explicar, rebaixar o pedido para perícia a partir de 1995</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2137/2139; 2402; 2885; 1948; 3078</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Desproporção R$ 185 mi x imóvel R$ 12,8 mi x cessão R$ 200 mil</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alta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perda de credibilidade</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C5: pedido principal = base + perícia; explicar que o excedente nunca será recebido</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3419; 3374; 655/660</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Afirmação errada sobre fls. 52 (20%)</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média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80, II; descrédito</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B1/B5: retificar; fonte dos 20% = sentença dos embargos + confissão de fls. 1419/1421</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52; 54; 31; 39; 1419</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Mora de 1% a.m. capitalizada na conta de 1995 (DL 413, art. 5º, p.u.)</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média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executado ataca a conta como ilegal</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C1: preclusão; critério ≠ erro material (2.127.021; 2.500.976)</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180/183</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148.938/RJ e art. 494, I</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média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Câmara aceita "erro material"</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A4: EREsp 1.229.406 (distinção do próprio STJ)</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pasta</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Precedente da 13ª CDP (Giaquinto, Ap. 1040981-64.2018) contra encargos pós-cessão</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média (se os memoriais insistirem)</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C4: não cobrar encargos pós-1995; limitar ao período Banespa</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3042</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Homologação de valor no agravo = supressão de instância</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alta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pedido "d.3" negado</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pedir base + remessa</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AI 2236642</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1.538.235/DF invocado pelo executado (homologação do contador não preclui)</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média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reabre a conta de 1995</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Bloco I: distinção (rito do art. 475-B; embargos já julgados; certidão de decurso)</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pasta; fls. 174/175, 203, 204</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AI 2181564-67.2026 ("a preclusão não alcança o Juízo") invocado para validar fls. 3066</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média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legitima a revisão de ofício</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F2: lá não havia homologação anterior; aqui há decisão exauriente</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pasta; fls. 203</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AI 2297076-69.2024 (ato sem ressalva = preclusão lógica) invocado contra fls. 3077/3078</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média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reforça o </w:t>
            </w:r>
            <w:r>
              <w:rPr>
                <w:rFonts w:ascii="Times New Roman" w:cs="Times New Roman" w:eastAsia="Times New Roman" w:hAnsi="Times New Roman"/>
                <w:b w:val="false"/>
                <w:bCs w:val="false"/>
                <w:i/>
                <w:iCs/>
                <w:sz w:val="19"/>
                <w:szCs w:val="19"/>
              </w:rPr>
              <w:t xml:space="preserve">venire</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F2: ato espontâneo do devedor x cumprimento de ordem pelo credor (REsp 2.018.575)</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pasta; fls. 3066, 3077</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Uso de afirmações da auditoria Gemini (fls. 3065 "atesta"; "devedor contumaz" da Relatora; REsp 1.538.235 favorável)</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alta se usadas</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80, II; descrédito</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Bloco I: não usar</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Acórdão AI 2353386 incompleto; contraminuta desconhecida</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respostas às preliminares às cegas</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G3</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bl>
    <w:p>
      <w:pPr>
        <w:spacing w:after="120"/>
      </w:pPr>
    </w:p>
    <w:p>
      <w:pPr>
        <w:pStyle w:val="Heading1"/>
        <w:keepNext/>
      </w:pPr>
      <w:r>
        <w:rPr>
          <w:rFonts w:ascii="Times New Roman" w:cs="Times New Roman" w:eastAsia="Times New Roman" w:hAnsi="Times New Roman"/>
        </w:rPr>
        <w:t xml:space="preserve">TABELA DE JURISPRUDÊNCIA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60"/>
        <w:gridCol w:w="2485"/>
        <w:gridCol w:w="1739"/>
        <w:gridCol w:w="2487"/>
      </w:tblGrid>
      <w:tr>
        <w:trPr>
          <w:cantSplit/>
          <w:tblHeader/>
        </w:trPr>
        <w:tc>
          <w:tcPr>
            <w:tcW w:type="dxa" w:w="236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Julgado</w:t>
            </w:r>
          </w:p>
        </w:tc>
        <w:tc>
          <w:tcPr>
            <w:tcW w:type="dxa" w:w="248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Identificação</w:t>
            </w:r>
          </w:p>
        </w:tc>
        <w:tc>
          <w:tcPr>
            <w:tcW w:type="dxa" w:w="1739"/>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Na pasta?</w:t>
            </w:r>
          </w:p>
        </w:tc>
        <w:tc>
          <w:tcPr>
            <w:tcW w:type="dxa" w:w="248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Sinal</w:t>
            </w:r>
          </w:p>
        </w:tc>
      </w:tr>
      <w:tr>
        <w:trPr>
          <w:cantSplit/>
          <w:tblHeader w:val="false"/>
        </w:trPr>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EDcl no REsp 1.229.406/SP</w:t>
            </w:r>
          </w:p>
        </w:tc>
        <w:tc>
          <w:tcPr>
            <w:tcW w:type="dxa" w:w="248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1ª T., Rel. Min. Benedito Gonçalves, j. 16/02/2012, DJe 07/03/2012; Radi Macruz x DERSA</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4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favorável (título judicial)</w:t>
            </w:r>
          </w:p>
        </w:tc>
      </w:tr>
      <w:tr>
        <w:trPr>
          <w:cantSplit/>
          <w:tblHeader w:val="false"/>
        </w:trPr>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EREsp 1.229.406/SP</w:t>
            </w:r>
          </w:p>
        </w:tc>
        <w:tc>
          <w:tcPr>
            <w:tcW w:type="dxa" w:w="248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Min. João Otávio de Noronha, decisão 05/08/2014, DJe 12/08/2014</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4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distingue o 148.938</w:t>
            </w:r>
          </w:p>
        </w:tc>
      </w:tr>
      <w:tr>
        <w:trPr>
          <w:cantSplit/>
          <w:tblHeader w:val="false"/>
        </w:trPr>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148.938/RJ</w:t>
            </w:r>
          </w:p>
        </w:tc>
        <w:tc>
          <w:tcPr>
            <w:tcW w:type="dxa" w:w="248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3ª T., Rel. Min. Waldemar Zveiter (voto prevalente Ari Pargendler), j. 12/09/2000, DJ 12/03/2001</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4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dois gumes</w:t>
            </w:r>
          </w:p>
        </w:tc>
      </w:tr>
      <w:tr>
        <w:trPr>
          <w:cantSplit/>
          <w:tblHeader w:val="false"/>
        </w:trPr>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AREsp 2.500.976/PR</w:t>
            </w:r>
          </w:p>
        </w:tc>
        <w:tc>
          <w:tcPr>
            <w:tcW w:type="dxa" w:w="248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4ª T., Rel. Min. Noronha, sessão 03-09/03/2026, DJEN 12/03/2026</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4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REsp 2.127.021/DF</w:t>
            </w:r>
          </w:p>
        </w:tc>
        <w:tc>
          <w:tcPr>
            <w:tcW w:type="dxa" w:w="248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3ª T., Rel. Min. Humberto Martins, sessão 13-19/08/2024</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4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2.018.575/PR</w:t>
            </w:r>
          </w:p>
        </w:tc>
        <w:tc>
          <w:tcPr>
            <w:tcW w:type="dxa" w:w="248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3ª T., Rel. Min. Nancy Andrighi, j. 12/09/2023, DJe 28/09/2023</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4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EDcl no REsp 2.178.097/RS</w:t>
            </w:r>
          </w:p>
        </w:tc>
        <w:tc>
          <w:tcPr>
            <w:tcW w:type="dxa" w:w="248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4ª T., Rel. Min. Raul Araújo, j. 25/05/2026, DJEN 01/06/2026</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4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1.655.655/SP</w:t>
            </w:r>
          </w:p>
        </w:tc>
        <w:tc>
          <w:tcPr>
            <w:tcW w:type="dxa" w:w="248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3ª T., Rel. Min. Villas Bôas Cueva, j. 25/06/2019, DJe 01/07/2019</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4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AREsp 2.569.822/DF (decisão, AgInt, certidão)</w:t>
            </w:r>
          </w:p>
        </w:tc>
        <w:tc>
          <w:tcPr>
            <w:tcW w:type="dxa" w:w="248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Min. Marco Buzzi; 4ª T., 23/09/2024; trânsito 17/10/2024</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4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neutro</w:t>
            </w:r>
          </w:p>
        </w:tc>
      </w:tr>
      <w:tr>
        <w:trPr>
          <w:cantSplit/>
          <w:tblHeader w:val="false"/>
        </w:trPr>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1.795.982/SP</w:t>
            </w:r>
          </w:p>
        </w:tc>
        <w:tc>
          <w:tcPr>
            <w:tcW w:type="dxa" w:w="248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Corte Especial, Rel. p/ ac. Min. Raul Araújo, 06/03 e 21/08/2024, DJe 23/10/2024</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4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neutro (SELIC)</w:t>
            </w:r>
          </w:p>
        </w:tc>
      </w:tr>
      <w:tr>
        <w:trPr>
          <w:cantSplit/>
          <w:tblHeader w:val="false"/>
        </w:trPr>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EAREsp 600.811/SP</w:t>
            </w:r>
          </w:p>
        </w:tc>
        <w:tc>
          <w:tcPr>
            <w:tcW w:type="dxa" w:w="248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Corte Especial, Rel. Min. Og Fernandes, j. 04/12/2019, DJe 07/02/2020</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4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dois gumes</w:t>
            </w:r>
          </w:p>
        </w:tc>
      </w:tr>
      <w:tr>
        <w:trPr>
          <w:cantSplit/>
          <w:tblHeader w:val="false"/>
        </w:trPr>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1.061.530/RS + Súmula 381</w:t>
            </w:r>
          </w:p>
        </w:tc>
        <w:tc>
          <w:tcPr>
            <w:tcW w:type="dxa" w:w="248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2ª Seção, Rel. Min. Nancy Andrighi, j. 22/10/2008, DJe 10/03/2009 (repetitivo)</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4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dois gumes (exclui cédulas)</w:t>
            </w:r>
          </w:p>
        </w:tc>
      </w:tr>
      <w:tr>
        <w:trPr>
          <w:cantSplit/>
          <w:tblHeader w:val="false"/>
        </w:trPr>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AREsp 43.936/RJ</w:t>
            </w:r>
          </w:p>
        </w:tc>
        <w:tc>
          <w:tcPr>
            <w:tcW w:type="dxa" w:w="248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Min. Villas Bôas Cueva, decisão 06/05/2014, DJe 16/05/2014</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4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nos EDcl no AREsp 1.122.847/SP</w:t>
            </w:r>
          </w:p>
        </w:tc>
        <w:tc>
          <w:tcPr>
            <w:tcW w:type="dxa" w:w="248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4ª T., Rel. Min. Raul Araújo, j. 10/10/2023, DJe 27/10/2023</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4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1.984.424/SP</w:t>
            </w:r>
          </w:p>
        </w:tc>
        <w:tc>
          <w:tcPr>
            <w:tcW w:type="dxa" w:w="248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3ª T., Rel. Min. Villas Bôas Cueva, j. 23/08/2022, trânsito 20/09/2022</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4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(CCB)</w:t>
            </w:r>
          </w:p>
        </w:tc>
      </w:tr>
      <w:tr>
        <w:trPr>
          <w:cantSplit/>
          <w:tblHeader w:val="false"/>
        </w:trPr>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1.861.550/DF</w:t>
            </w:r>
          </w:p>
        </w:tc>
        <w:tc>
          <w:tcPr>
            <w:tcW w:type="dxa" w:w="248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2ª T., Rel. Min. Og Fernandes, j. 16/06/2020, DJe 04/08/2020</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4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analogia</w:t>
            </w:r>
          </w:p>
        </w:tc>
      </w:tr>
      <w:tr>
        <w:trPr>
          <w:cantSplit/>
          <w:tblHeader w:val="false"/>
        </w:trPr>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1.256.633/RS</w:t>
            </w:r>
          </w:p>
        </w:tc>
        <w:tc>
          <w:tcPr>
            <w:tcW w:type="dxa" w:w="248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Min. Noronha, decisão 22/06/2011, DJe 30/06/2011</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4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monocrática</w:t>
            </w:r>
          </w:p>
        </w:tc>
      </w:tr>
      <w:tr>
        <w:trPr>
          <w:cantSplit/>
          <w:tblHeader w:val="false"/>
        </w:trPr>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256.832/CE</w:t>
            </w:r>
          </w:p>
        </w:tc>
        <w:tc>
          <w:tcPr>
            <w:tcW w:type="dxa" w:w="248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5ª T., Rel. Min. Edson Vidigal, j. 15/08/2000, DJ 11/09/2000</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4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AREsp 2.019.623/SP</w:t>
            </w:r>
          </w:p>
        </w:tc>
        <w:tc>
          <w:tcPr>
            <w:tcW w:type="dxa" w:w="248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4ª T., Rel. Min. Raul Araújo, sessão 13-19/09/2022</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4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REsp 1.476.534/CE</w:t>
            </w:r>
          </w:p>
        </w:tc>
        <w:tc>
          <w:tcPr>
            <w:tcW w:type="dxa" w:w="248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2ª T., Rel. Min. Og Fernandes, sessão 10-16/08/2021</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4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contra (distinguir)</w:t>
            </w:r>
          </w:p>
        </w:tc>
      </w:tr>
      <w:tr>
        <w:trPr>
          <w:cantSplit/>
          <w:tblHeader w:val="false"/>
        </w:trPr>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31.025/RS</w:t>
            </w:r>
          </w:p>
        </w:tc>
        <w:tc>
          <w:tcPr>
            <w:tcW w:type="dxa" w:w="248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4ª T., Rel. Min. Sálvio de Figueiredo, j. 17/02/1993 (no PDF da Súmula 93)</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4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Súmulas 93/STJ, 596/STF, 254/STF, 121/STF, 381/STJ</w:t>
            </w:r>
          </w:p>
        </w:tc>
        <w:tc>
          <w:tcPr>
            <w:tcW w:type="dxa" w:w="248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4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ver Bloco D</w:t>
            </w:r>
          </w:p>
        </w:tc>
      </w:tr>
      <w:tr>
        <w:trPr>
          <w:cantSplit/>
          <w:tblHeader w:val="false"/>
        </w:trPr>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2236655-84.2022</w:t>
            </w:r>
          </w:p>
        </w:tc>
        <w:tc>
          <w:tcPr>
            <w:tcW w:type="dxa" w:w="248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13ª CDP, Rel. Ana de Lourdes C. S. da Fonseca, j. 05/12/2022</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4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2236642-80.2025</w:t>
            </w:r>
          </w:p>
        </w:tc>
        <w:tc>
          <w:tcPr>
            <w:tcW w:type="dxa" w:w="248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13ª CDP, mesma Relatora, j. 07/10/2025</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4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2353386-61.2025</w:t>
            </w:r>
          </w:p>
        </w:tc>
        <w:tc>
          <w:tcPr>
            <w:tcW w:type="dxa" w:w="248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13ª CDP, mesma Relatora, j. 04/03/2026</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 (incompleto)</w:t>
            </w:r>
          </w:p>
        </w:tc>
        <w:tc>
          <w:tcPr>
            <w:tcW w:type="dxa" w:w="24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2123223-58.2020</w:t>
            </w:r>
          </w:p>
        </w:tc>
        <w:tc>
          <w:tcPr>
            <w:tcW w:type="dxa" w:w="248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20ª CDP, Rel. Rebello Pinho, j. 24/08/2020</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4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dois gumes</w:t>
            </w:r>
          </w:p>
        </w:tc>
      </w:tr>
      <w:tr>
        <w:trPr>
          <w:cantSplit/>
          <w:tblHeader w:val="false"/>
        </w:trPr>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2250267-55.2023</w:t>
            </w:r>
          </w:p>
        </w:tc>
        <w:tc>
          <w:tcPr>
            <w:tcW w:type="dxa" w:w="248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19ª CDP, Rel. Cláudia Grieco Tabosa Pessoa, j. 11/12/2023</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4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2401202-39.2025</w:t>
            </w:r>
          </w:p>
        </w:tc>
        <w:tc>
          <w:tcPr>
            <w:tcW w:type="dxa" w:w="248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7ª CDP, Rel. Pastorelo Kfouri, j. 30/04/2026</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4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2065526-45.2021 (Registro 2021.0000902160)</w:t>
            </w:r>
          </w:p>
        </w:tc>
        <w:tc>
          <w:tcPr>
            <w:tcW w:type="dxa" w:w="248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23ª CDP, ac. Des. Marcos Gozzo (maioria), j. 20/10/2021</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4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(o título do arquivo está invertido)</w:t>
            </w:r>
          </w:p>
        </w:tc>
      </w:tr>
      <w:tr>
        <w:trPr>
          <w:cantSplit/>
          <w:tblHeader w:val="false"/>
        </w:trPr>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Ap. 1040981-64.2018 (Giaquinto, 13ª CDP, 27/01/2021)</w:t>
            </w:r>
          </w:p>
        </w:tc>
        <w:tc>
          <w:tcPr>
            <w:tcW w:type="dxa" w:w="248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citada em fls. 3042</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não</w:t>
            </w:r>
          </w:p>
        </w:tc>
        <w:tc>
          <w:tcPr>
            <w:tcW w:type="dxa" w:w="24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contra (cessão)</w:t>
            </w:r>
          </w:p>
        </w:tc>
      </w:tr>
      <w:tr>
        <w:trPr>
          <w:cantSplit/>
          <w:tblHeader w:val="false"/>
        </w:trPr>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AREsp 1.539.138/SP</w:t>
            </w:r>
          </w:p>
        </w:tc>
        <w:tc>
          <w:tcPr>
            <w:tcW w:type="dxa" w:w="248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Min. Napoleão Nunes Maia Filho, decisão monocrática de 25/11/2020 (reconsideração); antes, Presidência, 05/08/2019, DJe 08/08/2019</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4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dois gumes (título judicial)</w:t>
            </w:r>
          </w:p>
        </w:tc>
      </w:tr>
      <w:tr>
        <w:trPr>
          <w:cantSplit/>
          <w:tblHeader w:val="false"/>
        </w:trPr>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REsp 1.455.741/DF</w:t>
            </w:r>
          </w:p>
        </w:tc>
        <w:tc>
          <w:tcPr>
            <w:tcW w:type="dxa" w:w="248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4ª T., Rel. Min. Raul Araújo, DJe 15/06/2020</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só transcrito no 1.539.138</w:t>
            </w:r>
          </w:p>
        </w:tc>
        <w:tc>
          <w:tcPr>
            <w:tcW w:type="dxa" w:w="24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dois gumes</w:t>
            </w:r>
          </w:p>
        </w:tc>
      </w:tr>
      <w:tr>
        <w:trPr>
          <w:cantSplit/>
          <w:tblHeader w:val="false"/>
        </w:trPr>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Ap. 0017993-79.2012.8.26.0408</w:t>
            </w:r>
          </w:p>
        </w:tc>
        <w:tc>
          <w:tcPr>
            <w:tcW w:type="dxa" w:w="248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13ª CDP, Rel. Ana de Lourdes C. S. da Fonseca, j. 23/11/2016, Registro 2016.0000860543</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4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com distinção</w:t>
            </w:r>
          </w:p>
        </w:tc>
      </w:tr>
      <w:tr>
        <w:trPr>
          <w:cantSplit/>
          <w:tblHeader w:val="false"/>
        </w:trPr>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2143351-60.2024.8.26.0000</w:t>
            </w:r>
          </w:p>
        </w:tc>
        <w:tc>
          <w:tcPr>
            <w:tcW w:type="dxa" w:w="248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13ª Câm. Dir. Público, Rel. Flora Maria Nesi Tossi Silva, j. 27/11/2024</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4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neutro</w:t>
            </w:r>
          </w:p>
        </w:tc>
      </w:tr>
      <w:tr>
        <w:trPr>
          <w:cantSplit/>
          <w:tblHeader w:val="false"/>
        </w:trPr>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EDcl Ap. 0019853-52.2024.8.26.0002</w:t>
            </w:r>
          </w:p>
        </w:tc>
        <w:tc>
          <w:tcPr>
            <w:tcW w:type="dxa" w:w="248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38ª CDP, Rel. Spencer Almeida Ferreira, j. 10/12/2025, Registro 2025.0001287226</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4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processual (julgamento virtual)</w:t>
            </w:r>
          </w:p>
        </w:tc>
      </w:tr>
      <w:tr>
        <w:trPr>
          <w:cantSplit/>
          <w:tblHeader w:val="false"/>
        </w:trPr>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2181564-67.2026.8.26.0000</w:t>
            </w:r>
          </w:p>
        </w:tc>
        <w:tc>
          <w:tcPr>
            <w:tcW w:type="dxa" w:w="248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1ª CDP, Rel. Claudio Godoy, j. 17/09/2026, v.u., Registro 2026.0000900387</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4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dois gumes (F2)</w:t>
            </w:r>
          </w:p>
        </w:tc>
      </w:tr>
      <w:tr>
        <w:trPr>
          <w:cantSplit/>
          <w:tblHeader w:val="false"/>
        </w:trPr>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2297076-69.2024.8.26.0000</w:t>
            </w:r>
          </w:p>
        </w:tc>
        <w:tc>
          <w:tcPr>
            <w:tcW w:type="dxa" w:w="248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19ª CDP, Rel. Jairo Brazil, j. 31/10/2024, v.u., Registro 2024.0001057089</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4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contra, a distinguir (F2)</w:t>
            </w:r>
          </w:p>
        </w:tc>
      </w:tr>
      <w:tr>
        <w:trPr>
          <w:cantSplit/>
          <w:tblHeader w:val="false"/>
        </w:trPr>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EDcl 0114335-38.2025.8.26.9061/50000</w:t>
            </w:r>
          </w:p>
        </w:tc>
        <w:tc>
          <w:tcPr>
            <w:tcW w:type="dxa" w:w="248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5ª Turma Recursal Cível, Rel. Renato Guanaes Simões Thomsen, j. 27/11/2025, Registro 2025.0000234581</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4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processual (sustentação oral incabível; texto do art. 1º da Res. 549/2011)</w:t>
            </w:r>
          </w:p>
        </w:tc>
      </w:tr>
      <w:tr>
        <w:trPr>
          <w:cantSplit/>
          <w:tblHeader w:val="false"/>
        </w:trPr>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1.538.235/DF</w:t>
            </w:r>
          </w:p>
        </w:tc>
        <w:tc>
          <w:tcPr>
            <w:tcW w:type="dxa" w:w="248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3ª T., Rel. Min. Nancy Andrighi (voto retificado após voto-vista do Min. Bellizze), j. 14/05/2019, DJe 29/05/2019</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4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w:t>
            </w:r>
            <w:r>
              <w:rPr>
                <w:rFonts w:ascii="Times New Roman" w:cs="Times New Roman" w:eastAsia="Times New Roman" w:hAnsi="Times New Roman"/>
                <w:b/>
                <w:bCs/>
                <w:i w:val="false"/>
                <w:iCs w:val="false"/>
                <w:sz w:val="19"/>
                <w:szCs w:val="19"/>
              </w:rPr>
              <w:t xml:space="preserve">contrário</w:t>
            </w:r>
            <w:r>
              <w:rPr>
                <w:rFonts w:ascii="Times New Roman" w:cs="Times New Roman" w:eastAsia="Times New Roman" w:hAnsi="Times New Roman"/>
                <w:b w:val="false"/>
                <w:bCs w:val="false"/>
                <w:i w:val="false"/>
                <w:iCs w:val="false"/>
                <w:sz w:val="19"/>
                <w:szCs w:val="19"/>
              </w:rPr>
              <w:t xml:space="preserve"> (Bloco I)</w:t>
            </w:r>
          </w:p>
        </w:tc>
      </w:tr>
      <w:tr>
        <w:trPr>
          <w:cantSplit/>
          <w:tblHeader w:val="false"/>
        </w:trPr>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1.995.565/SP</w:t>
            </w:r>
          </w:p>
        </w:tc>
        <w:tc>
          <w:tcPr>
            <w:tcW w:type="dxa" w:w="248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3ª T., Rel. Min. Nancy Andrighi, j. 22/11/2022, DJe 24/11/2022</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só transcrito no EDcl 0114335</w:t>
            </w:r>
          </w:p>
        </w:tc>
        <w:tc>
          <w:tcPr>
            <w:tcW w:type="dxa" w:w="24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processual (julgamento virtual sem nulidade)</w:t>
            </w:r>
          </w:p>
        </w:tc>
      </w:tr>
      <w:tr>
        <w:trPr>
          <w:cantSplit/>
          <w:tblHeader w:val="false"/>
        </w:trPr>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AREsp 1.679.792/RS; AgInt no AREsp 2.082.313/DF</w:t>
            </w:r>
          </w:p>
        </w:tc>
        <w:tc>
          <w:tcPr>
            <w:tcW w:type="dxa" w:w="248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4ª T., j. 23/02/2021 e 27/03/2023</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só transcritos no AI 2181564</w:t>
            </w:r>
          </w:p>
        </w:tc>
        <w:tc>
          <w:tcPr>
            <w:tcW w:type="dxa" w:w="24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contra (juiz revê cálculo de ofício)</w:t>
            </w:r>
          </w:p>
        </w:tc>
      </w:tr>
      <w:tr>
        <w:trPr>
          <w:cantSplit/>
          <w:tblHeader w:val="false"/>
        </w:trPr>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Resolução TJSP 984/2025</w:t>
            </w:r>
          </w:p>
        </w:tc>
        <w:tc>
          <w:tcPr>
            <w:tcW w:type="dxa" w:w="248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publicada em 18/09/2025; revoga as Res. 549/2011, 772/2017 e 903/2023</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notícia oficial; texto integral não obtido</w:t>
            </w:r>
          </w:p>
        </w:tc>
        <w:tc>
          <w:tcPr>
            <w:tcW w:type="dxa" w:w="24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AREsp 1.851.737/DF</w:t>
            </w:r>
          </w:p>
        </w:tc>
        <w:tc>
          <w:tcPr>
            <w:tcW w:type="dxa" w:w="248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não</w:t>
            </w:r>
          </w:p>
        </w:tc>
        <w:tc>
          <w:tcPr>
            <w:tcW w:type="dxa" w:w="24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a confirmar</w:t>
            </w:r>
          </w:p>
        </w:tc>
      </w:tr>
    </w:tbl>
    <w:p>
      <w:pPr>
        <w:spacing w:after="120"/>
      </w:pPr>
    </w:p>
    <w:p>
      <w:pPr>
        <w:pStyle w:val="Heading1"/>
        <w:keepNext/>
      </w:pPr>
      <w:r>
        <w:rPr>
          <w:rFonts w:ascii="Times New Roman" w:cs="Times New Roman" w:eastAsia="Times New Roman" w:hAnsi="Times New Roman"/>
        </w:rPr>
        <w:t xml:space="preserve">LISTA DE DOCUMENTOS A SUBIR</w:t>
      </w:r>
    </w:p>
    <w:p>
      <w:pPr>
        <w:spacing w:after="120" w:line="360"/>
        <w:jc w:val="both"/>
      </w:pPr>
      <w:r>
        <w:rPr>
          <w:rFonts w:ascii="Times New Roman" w:cs="Times New Roman" w:eastAsia="Times New Roman" w:hAnsi="Times New Roman"/>
          <w:b w:val="false"/>
          <w:bCs w:val="false"/>
          <w:i w:val="false"/>
          <w:iCs w:val="false"/>
        </w:rPr>
        <w:t xml:space="preserve">Ver "PRIMEIRO PASSO" (grupos 1 e 2). Prioridade: (1) contraminuta; (2) sentença/acórdão dos embargos (fls. 2140/2160 e-SAJ ou fls. 32/47 e 85 dos embargos digitalizados); (3) fls. 3404 (fim do acórdão do AI 2353386); (4) texto integral oficial da Resolução TJSP 984/2025 e do RITJSP, art. 146; (5) inteiro teor do REsp 1.995.565/SP e do AgInt no REsp 1.455.741/DF.</w:t>
      </w:r>
    </w:p>
    <w:p>
      <w:pPr>
        <w:pStyle w:val="Heading1"/>
        <w:keepNext/>
      </w:pPr>
      <w:r>
        <w:rPr>
          <w:rFonts w:ascii="Times New Roman" w:cs="Times New Roman" w:eastAsia="Times New Roman" w:hAnsi="Times New Roman"/>
        </w:rPr>
        <w:t xml:space="preserve">ESQUELETO DOS MEMORIAIS (ordem de persuasão)</w:t>
      </w:r>
    </w:p>
    <w:p>
      <w:pPr>
        <w:pStyle w:val="ListParagraph"/>
        <w:numPr>
          <w:ilvl w:val="0"/>
          <w:numId w:val="5"/>
        </w:numPr>
        <w:spacing w:after="80" w:line="340"/>
        <w:jc w:val="both"/>
      </w:pPr>
      <w:r>
        <w:rPr>
          <w:rFonts w:ascii="Times New Roman" w:cs="Times New Roman" w:eastAsia="Times New Roman" w:hAnsi="Times New Roman"/>
          <w:b/>
          <w:bCs/>
          <w:i w:val="false"/>
          <w:iCs w:val="false"/>
        </w:rPr>
        <w:t xml:space="preserve">Síntese em uma página</w:t>
      </w:r>
      <w:r>
        <w:rPr>
          <w:rFonts w:ascii="Times New Roman" w:cs="Times New Roman" w:eastAsia="Times New Roman" w:hAnsi="Times New Roman"/>
          <w:b w:val="false"/>
          <w:bCs w:val="false"/>
          <w:i w:val="false"/>
          <w:iCs w:val="false"/>
        </w:rPr>
        <w:t xml:space="preserve">: o que se pede (base de 1995 + perícia), o que não se pede mais (homologação de R$ 185 mi; sobrestamento do leilão). Prova: fls. 203/204 e-SAJ (152 física).</w:t>
      </w:r>
    </w:p>
    <w:p>
      <w:pPr>
        <w:pStyle w:val="ListParagraph"/>
        <w:numPr>
          <w:ilvl w:val="0"/>
          <w:numId w:val="5"/>
        </w:numPr>
        <w:spacing w:after="80" w:line="340"/>
        <w:jc w:val="both"/>
      </w:pPr>
      <w:r>
        <w:rPr>
          <w:rFonts w:ascii="Times New Roman" w:cs="Times New Roman" w:eastAsia="Times New Roman" w:hAnsi="Times New Roman"/>
          <w:b/>
          <w:bCs/>
          <w:i w:val="false"/>
          <w:iCs w:val="false"/>
        </w:rPr>
        <w:t xml:space="preserve">A conta homologada e sua história</w:t>
      </w:r>
      <w:r>
        <w:rPr>
          <w:rFonts w:ascii="Times New Roman" w:cs="Times New Roman" w:eastAsia="Times New Roman" w:hAnsi="Times New Roman"/>
          <w:b w:val="false"/>
          <w:bCs w:val="false"/>
          <w:i w:val="false"/>
          <w:iCs w:val="false"/>
        </w:rPr>
        <w:t xml:space="preserve">: 1ª conta (165/122) → impugnação do Banespa (174-175/129-130) → retificação por ordem judicial (178/"133"; 179) → homologação (203/152) → certidão (204). O devedor, citado (54/24), nunca impugnou.</w:t>
      </w:r>
    </w:p>
    <w:p>
      <w:pPr>
        <w:pStyle w:val="ListParagraph"/>
        <w:numPr>
          <w:ilvl w:val="0"/>
          <w:numId w:val="5"/>
        </w:numPr>
        <w:spacing w:after="80" w:line="340"/>
        <w:jc w:val="both"/>
      </w:pPr>
      <w:r>
        <w:rPr>
          <w:rFonts w:ascii="Times New Roman" w:cs="Times New Roman" w:eastAsia="Times New Roman" w:hAnsi="Times New Roman"/>
          <w:b/>
          <w:bCs/>
          <w:i w:val="false"/>
          <w:iCs w:val="false"/>
        </w:rPr>
        <w:t xml:space="preserve">A decisão de fls. 3066 decidiu o que declarou não poder decidir</w:t>
      </w:r>
      <w:r>
        <w:rPr>
          <w:rFonts w:ascii="Times New Roman" w:cs="Times New Roman" w:eastAsia="Times New Roman" w:hAnsi="Times New Roman"/>
          <w:b w:val="false"/>
          <w:bCs w:val="false"/>
          <w:i w:val="false"/>
          <w:iCs w:val="false"/>
        </w:rPr>
        <w:t xml:space="preserve">: transcrição lado a lado de 3065 e 3066; arts. 1.022, 9º, 10, 505; AI 2236642 ("única tese"; "indevida inovação").</w:t>
      </w:r>
    </w:p>
    <w:p>
      <w:pPr>
        <w:pStyle w:val="ListParagraph"/>
        <w:numPr>
          <w:ilvl w:val="0"/>
          <w:numId w:val="5"/>
        </w:numPr>
        <w:spacing w:after="80" w:line="340"/>
        <w:jc w:val="both"/>
      </w:pPr>
      <w:r>
        <w:rPr>
          <w:rFonts w:ascii="Times New Roman" w:cs="Times New Roman" w:eastAsia="Times New Roman" w:hAnsi="Times New Roman"/>
          <w:b/>
          <w:bCs/>
          <w:i w:val="false"/>
          <w:iCs w:val="false"/>
        </w:rPr>
        <w:t xml:space="preserve">Critério não é erro material; ordem pública preclui</w:t>
      </w:r>
      <w:r>
        <w:rPr>
          <w:rFonts w:ascii="Times New Roman" w:cs="Times New Roman" w:eastAsia="Times New Roman" w:hAnsi="Times New Roman"/>
          <w:b w:val="false"/>
          <w:bCs w:val="false"/>
          <w:i w:val="false"/>
          <w:iCs w:val="false"/>
        </w:rPr>
        <w:t xml:space="preserve">: EDcl/EREsp 1.229.406; 2.127.021; 2.500.976; 2.019.623; 1.861.550; AI 2250267 e 2401202 (TJSP). Distinção do REsp 148.938.</w:t>
      </w:r>
    </w:p>
    <w:p>
      <w:pPr>
        <w:pStyle w:val="ListParagraph"/>
        <w:numPr>
          <w:ilvl w:val="0"/>
          <w:numId w:val="5"/>
        </w:numPr>
        <w:spacing w:after="80" w:line="340"/>
        <w:jc w:val="both"/>
      </w:pPr>
      <w:r>
        <w:rPr>
          <w:rFonts w:ascii="Times New Roman" w:cs="Times New Roman" w:eastAsia="Times New Roman" w:hAnsi="Times New Roman"/>
          <w:b/>
          <w:bCs/>
          <w:i w:val="false"/>
          <w:iCs w:val="false"/>
        </w:rPr>
        <w:t xml:space="preserve">Cumprir ordem não é aquiescer</w:t>
      </w:r>
      <w:r>
        <w:rPr>
          <w:rFonts w:ascii="Times New Roman" w:cs="Times New Roman" w:eastAsia="Times New Roman" w:hAnsi="Times New Roman"/>
          <w:b w:val="false"/>
          <w:bCs w:val="false"/>
          <w:i w:val="false"/>
          <w:iCs w:val="false"/>
        </w:rPr>
        <w:t xml:space="preserve">: 1932/1933 (14/03/2024), 3066 e 3082/3084; art. 1.000, p.u.; REsp 2.018.575; EDcl REsp 2.178.097; REsp 1.655.655.</w:t>
      </w:r>
    </w:p>
    <w:p>
      <w:pPr>
        <w:pStyle w:val="ListParagraph"/>
        <w:numPr>
          <w:ilvl w:val="0"/>
          <w:numId w:val="5"/>
        </w:numPr>
        <w:spacing w:after="80" w:line="340"/>
        <w:jc w:val="both"/>
      </w:pPr>
      <w:r>
        <w:rPr>
          <w:rFonts w:ascii="Times New Roman" w:cs="Times New Roman" w:eastAsia="Times New Roman" w:hAnsi="Times New Roman"/>
          <w:b/>
          <w:bCs/>
          <w:i w:val="false"/>
          <w:iCs w:val="false"/>
        </w:rPr>
        <w:t xml:space="preserve">As planilhas desde 1987 e a "mera liberalidade" do Santander</w:t>
      </w:r>
      <w:r>
        <w:rPr>
          <w:rFonts w:ascii="Times New Roman" w:cs="Times New Roman" w:eastAsia="Times New Roman" w:hAnsi="Times New Roman"/>
          <w:b w:val="false"/>
          <w:bCs w:val="false"/>
          <w:i w:val="false"/>
          <w:iCs w:val="false"/>
        </w:rPr>
        <w:t xml:space="preserve"> (2137/2139): renúncia estrita, não homologada; nenhuma planilha foi homologada (3041); confissões do executado (1419/1421; 1483).</w:t>
      </w:r>
    </w:p>
    <w:p>
      <w:pPr>
        <w:pStyle w:val="ListParagraph"/>
        <w:numPr>
          <w:ilvl w:val="0"/>
          <w:numId w:val="5"/>
        </w:numPr>
        <w:spacing w:after="80" w:line="340"/>
        <w:jc w:val="both"/>
      </w:pPr>
      <w:r>
        <w:rPr>
          <w:rFonts w:ascii="Times New Roman" w:cs="Times New Roman" w:eastAsia="Times New Roman" w:hAnsi="Times New Roman"/>
          <w:b/>
          <w:bCs/>
          <w:i w:val="false"/>
          <w:iCs w:val="false"/>
        </w:rPr>
        <w:t xml:space="preserve">Coerência da Câmara (art. 926)</w:t>
      </w:r>
      <w:r>
        <w:rPr>
          <w:rFonts w:ascii="Times New Roman" w:cs="Times New Roman" w:eastAsia="Times New Roman" w:hAnsi="Times New Roman"/>
          <w:b w:val="false"/>
          <w:bCs w:val="false"/>
          <w:i w:val="false"/>
          <w:iCs w:val="false"/>
        </w:rPr>
        <w:t xml:space="preserve">: AI 2353386 ("preclusão pro iudicato", "retrocesso indevido"); AI 2236642.</w:t>
      </w:r>
    </w:p>
    <w:p>
      <w:pPr>
        <w:pStyle w:val="ListParagraph"/>
        <w:numPr>
          <w:ilvl w:val="0"/>
          <w:numId w:val="5"/>
        </w:numPr>
        <w:spacing w:after="80" w:line="340"/>
        <w:jc w:val="both"/>
      </w:pPr>
      <w:r>
        <w:rPr>
          <w:rFonts w:ascii="Times New Roman" w:cs="Times New Roman" w:eastAsia="Times New Roman" w:hAnsi="Times New Roman"/>
          <w:b/>
          <w:bCs/>
          <w:i w:val="false"/>
          <w:iCs w:val="false"/>
        </w:rPr>
        <w:t xml:space="preserve">Não há anatocismo pós-1995</w:t>
      </w:r>
      <w:r>
        <w:rPr>
          <w:rFonts w:ascii="Times New Roman" w:cs="Times New Roman" w:eastAsia="Times New Roman" w:hAnsi="Times New Roman"/>
          <w:b w:val="false"/>
          <w:bCs w:val="false"/>
          <w:i w:val="false"/>
          <w:iCs w:val="false"/>
        </w:rPr>
        <w:t xml:space="preserve">: fls. 3419 (juros simples desde 05/10/1995); DL 413, art. 5º e 11, § 2º; Súmula 93; REsp 31.025.</w:t>
      </w:r>
    </w:p>
    <w:p>
      <w:pPr>
        <w:pStyle w:val="ListParagraph"/>
        <w:numPr>
          <w:ilvl w:val="0"/>
          <w:numId w:val="5"/>
        </w:numPr>
        <w:spacing w:after="80" w:line="340"/>
        <w:jc w:val="both"/>
      </w:pPr>
      <w:r>
        <w:rPr>
          <w:rFonts w:ascii="Times New Roman" w:cs="Times New Roman" w:eastAsia="Times New Roman" w:hAnsi="Times New Roman"/>
          <w:b/>
          <w:bCs/>
          <w:i w:val="false"/>
          <w:iCs w:val="false"/>
        </w:rPr>
        <w:t xml:space="preserve">Honorários</w:t>
      </w:r>
      <w:r>
        <w:rPr>
          <w:rFonts w:ascii="Times New Roman" w:cs="Times New Roman" w:eastAsia="Times New Roman" w:hAnsi="Times New Roman"/>
          <w:b w:val="false"/>
          <w:bCs w:val="false"/>
          <w:i w:val="false"/>
          <w:iCs w:val="false"/>
        </w:rPr>
        <w:t xml:space="preserve">: sentença dos embargos (juntar); 1419/1421; 1483; 180/134; retificação sobre fls. 52; subsidiário: 10% sobre o débito (39/12; 31/06).</w:t>
      </w:r>
    </w:p>
    <w:p>
      <w:pPr>
        <w:pStyle w:val="ListParagraph"/>
        <w:numPr>
          <w:ilvl w:val="0"/>
          <w:numId w:val="5"/>
        </w:numPr>
        <w:spacing w:after="80" w:line="340"/>
        <w:jc w:val="both"/>
      </w:pPr>
      <w:r>
        <w:rPr>
          <w:rFonts w:ascii="Times New Roman" w:cs="Times New Roman" w:eastAsia="Times New Roman" w:hAnsi="Times New Roman"/>
          <w:b/>
          <w:bCs/>
          <w:i w:val="false"/>
          <w:iCs w:val="false"/>
        </w:rPr>
        <w:t xml:space="preserve">Cessão</w:t>
      </w:r>
      <w:r>
        <w:rPr>
          <w:rFonts w:ascii="Times New Roman" w:cs="Times New Roman" w:eastAsia="Times New Roman" w:hAnsi="Times New Roman"/>
          <w:b w:val="false"/>
          <w:bCs w:val="false"/>
          <w:i w:val="false"/>
          <w:iCs w:val="false"/>
        </w:rPr>
        <w:t xml:space="preserve"> (só se a contraminuta suscitar): 655/660 (537/542); REsp 1.984.424; art. 893 CC; Tema 361; os exequentes não cobram encargos pós-1995 (3043).</w:t>
      </w:r>
    </w:p>
    <w:p>
      <w:pPr>
        <w:pStyle w:val="ListParagraph"/>
        <w:numPr>
          <w:ilvl w:val="0"/>
          <w:numId w:val="5"/>
        </w:numPr>
        <w:spacing w:after="80" w:line="340"/>
        <w:jc w:val="both"/>
      </w:pPr>
      <w:r>
        <w:rPr>
          <w:rFonts w:ascii="Times New Roman" w:cs="Times New Roman" w:eastAsia="Times New Roman" w:hAnsi="Times New Roman"/>
          <w:b/>
          <w:bCs/>
          <w:i w:val="false"/>
          <w:iCs w:val="false"/>
        </w:rPr>
        <w:t xml:space="preserve">Pedidos</w:t>
      </w:r>
      <w:r>
        <w:rPr>
          <w:rFonts w:ascii="Times New Roman" w:cs="Times New Roman" w:eastAsia="Times New Roman" w:hAnsi="Times New Roman"/>
          <w:b w:val="false"/>
          <w:bCs w:val="false"/>
          <w:i w:val="false"/>
          <w:iCs w:val="false"/>
        </w:rPr>
        <w:t xml:space="preserve">: (a) provimento para reformar 3435/3437 e reconhecer a base de 05/10/1995 (R$ 5.256.733,85 + multa 10% + honorários), com perícia na origem; (b) subsidiário: perícia com decomposição do saldo de 1995 (capital x mora) e juros legais só sobre o capital; (c) desistência do pedido "f"; (d) juntada de documentos (art. 435) com vista à parte contrária (art. 437, § 1º).</w:t>
      </w:r>
    </w:p>
    <w:p>
      <w:pPr>
        <w:pStyle w:val="Heading1"/>
        <w:keepNext/>
      </w:pPr>
      <w:r>
        <w:rPr>
          <w:rFonts w:ascii="Times New Roman" w:cs="Times New Roman" w:eastAsia="Times New Roman" w:hAnsi="Times New Roman"/>
        </w:rPr>
        <w:t xml:space="preserve">Páginas lidas / não verificado</w:t>
      </w:r>
    </w:p>
    <w:p>
      <w:pPr>
        <w:spacing w:after="120" w:line="360"/>
        <w:jc w:val="both"/>
      </w:pPr>
      <w:r>
        <w:rPr>
          <w:rFonts w:ascii="Times New Roman" w:cs="Times New Roman" w:eastAsia="Times New Roman" w:hAnsi="Times New Roman"/>
          <w:b w:val="false"/>
          <w:bCs w:val="false"/>
          <w:i w:val="false"/>
          <w:iCs w:val="false"/>
        </w:rPr>
        <w:t xml:space="preserve">Páginas lidas por arquivo: ver a tabela inicial. </w:t>
      </w:r>
      <w:r>
        <w:rPr>
          <w:rFonts w:ascii="Times New Roman" w:cs="Times New Roman" w:eastAsia="Times New Roman" w:hAnsi="Times New Roman"/>
          <w:b/>
          <w:bCs/>
          <w:i w:val="false"/>
          <w:iCs w:val="false"/>
        </w:rPr>
        <w:t xml:space="preserve">Não consegui verificar:</w:t>
      </w:r>
      <w:r>
        <w:rPr>
          <w:rFonts w:ascii="Times New Roman" w:cs="Times New Roman" w:eastAsia="Times New Roman" w:hAnsi="Times New Roman"/>
          <w:b w:val="false"/>
          <w:bCs w:val="false"/>
          <w:i w:val="false"/>
          <w:iCs w:val="false"/>
        </w:rPr>
        <w:t xml:space="preserve"> fls. 27-30, 32-38, 41-51 (só rendidas, não lidas); fls. 57 e-SAJ (ilegível); fls. 185/186 (habilitação Bradesco); fls. 205 a 900 (nenhum arquivo cobre); fls. 651; 771/785; 1500/1505 (imagem); 1924/1931 (AREsp na CP); 2140/2200 (cópias juntadas pelo Santander); 3404 (fim do acórdão); contraminuta; apelação 0017993-79.2012; sentença e acórdão dos embargos 0015252; Resolução 549/2011 e RITJSP; os seis julgados do grupo 2 de faltantes. Tudo o que está marcado 🟩 foi conferido em imagem ou em texto com camada verificada; o que está 🟨 depende desses itens.</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SÍNTESE FINAL (enviada no chat em 27/09/2026)</w:t>
      </w:r>
    </w:p>
    <w:p>
      <w:pPr>
        <w:spacing w:after="120" w:line="360"/>
        <w:jc w:val="both"/>
      </w:pPr>
      <w:r>
        <w:rPr>
          <w:rFonts w:ascii="Times New Roman" w:cs="Times New Roman" w:eastAsia="Times New Roman" w:hAnsi="Times New Roman"/>
          <w:b/>
          <w:bCs/>
          <w:i w:val="false"/>
          <w:iCs w:val="false"/>
        </w:rPr>
        <w:t xml:space="preserve">Os cinco achados que mudam a estratégia</w:t>
      </w:r>
    </w:p>
    <w:p>
      <w:pPr>
        <w:pStyle w:val="ListParagraph"/>
        <w:numPr>
          <w:ilvl w:val="0"/>
          <w:numId w:val="6"/>
        </w:numPr>
        <w:spacing w:after="80" w:line="340"/>
        <w:jc w:val="both"/>
      </w:pPr>
      <w:r>
        <w:rPr>
          <w:rFonts w:ascii="Times New Roman" w:cs="Times New Roman" w:eastAsia="Times New Roman" w:hAnsi="Times New Roman"/>
          <w:b w:val="false"/>
          <w:bCs w:val="false"/>
          <w:i w:val="false"/>
          <w:iCs w:val="false"/>
        </w:rPr>
        <w:t xml:space="preserve">🟥 A premissa "a base sempre foi a conta de 1995" não se sustenta nos autos. Todas as planilhas lidas partem de Cz$ 1.210.000,00 em maio/1987: Santander em 2007 (fls. 2137/2139 e-SAJ, CP 600/602 / 148/150 física) e 2009 (fls. 2402/2403), cessionários em 2019 (fls. 2885), 19/04/2024 (fls. 1948) e 04/06/2025 (fls. 3078). O Santander escreveu em 2007: "inobstante a existência de decisão homologada nos autos principais (…) por mera liberalidade, optou o credor" por calcular desde 1987. A única invocação da base de 1995 antes de 2026 é a resposta à exceção de 16/09/2024 (fls. 1538). O pedido de homologar R$ 185 milhões precisa ser abandonado; o pedido viável é "base de 1995 + perícia na origem".</w:t>
      </w:r>
    </w:p>
    <w:p>
      <w:pPr>
        <w:pStyle w:val="ListParagraph"/>
        <w:numPr>
          <w:ilvl w:val="0"/>
          <w:numId w:val="6"/>
        </w:numPr>
        <w:spacing w:after="80" w:line="340"/>
        <w:jc w:val="both"/>
      </w:pPr>
      <w:r>
        <w:rPr>
          <w:rFonts w:ascii="Times New Roman" w:cs="Times New Roman" w:eastAsia="Times New Roman" w:hAnsi="Times New Roman"/>
          <w:b w:val="false"/>
          <w:bCs w:val="false"/>
          <w:i w:val="false"/>
          <w:iCs w:val="false"/>
        </w:rPr>
        <w:t xml:space="preserve">🟩 A origem dos 20% de honorários é a sentença dos Embargos à Execução (03/05/1991), e o próprio executado confessou isso (fls. 1419/1421 e-SAJ). Fls. 52 é ilegível e três documentos coevos (cédula, inicial, mandado) dizem 10%. A afirmação do agravo sobre fls. 52 deve ser retificada nos memoriais.</w:t>
      </w:r>
    </w:p>
    <w:p>
      <w:pPr>
        <w:pStyle w:val="ListParagraph"/>
        <w:numPr>
          <w:ilvl w:val="0"/>
          <w:numId w:val="6"/>
        </w:numPr>
        <w:spacing w:after="80" w:line="340"/>
        <w:jc w:val="both"/>
      </w:pPr>
      <w:r>
        <w:rPr>
          <w:rFonts w:ascii="Times New Roman" w:cs="Times New Roman" w:eastAsia="Times New Roman" w:hAnsi="Times New Roman"/>
          <w:b w:val="false"/>
          <w:bCs w:val="false"/>
          <w:i w:val="false"/>
          <w:iCs w:val="false"/>
        </w:rPr>
        <w:t xml:space="preserve">🟩 A contradição interna de fls. 3064/3066 é literal: o juiz declarou a matéria "nova" e "imprópria a via" e, no mesmo ato, decidiu-a de ofício no item 2.</w:t>
      </w:r>
    </w:p>
    <w:p>
      <w:pPr>
        <w:pStyle w:val="ListParagraph"/>
        <w:numPr>
          <w:ilvl w:val="0"/>
          <w:numId w:val="6"/>
        </w:numPr>
        <w:spacing w:after="80" w:line="340"/>
        <w:jc w:val="both"/>
      </w:pPr>
      <w:r>
        <w:rPr>
          <w:rFonts w:ascii="Times New Roman" w:cs="Times New Roman" w:eastAsia="Times New Roman" w:hAnsi="Times New Roman"/>
          <w:b w:val="false"/>
          <w:bCs w:val="false"/>
          <w:i w:val="false"/>
          <w:iCs w:val="false"/>
        </w:rPr>
        <w:t xml:space="preserve">🟩 A jurisprudência do STJ sobre "erro material x critério" é uniforme e favorável (EDcl e EREsp 1.229.406/SP; AgInt no REsp 2.127.021/DF; AgInt no AREsp 2.500.976/PR). Dois arquivos do Drive estão trocados: "AgInt no AgInt no AREsp 1539138" contém fls. 786/790 dos autos, e "Registro 2021-0000902160 NAO PODE COBRAR JUROS" diz o oposto do título.</w:t>
      </w:r>
    </w:p>
    <w:p>
      <w:pPr>
        <w:pStyle w:val="ListParagraph"/>
        <w:numPr>
          <w:ilvl w:val="0"/>
          <w:numId w:val="6"/>
        </w:numPr>
        <w:spacing w:after="80" w:line="340"/>
        <w:jc w:val="both"/>
      </w:pPr>
      <w:r>
        <w:rPr>
          <w:rFonts w:ascii="Times New Roman" w:cs="Times New Roman" w:eastAsia="Times New Roman" w:hAnsi="Times New Roman"/>
          <w:b w:val="false"/>
          <w:bCs w:val="false"/>
          <w:i w:val="false"/>
          <w:iCs w:val="false"/>
        </w:rPr>
        <w:t xml:space="preserve">🟨 Ponto fraco real da conta de 1995: mora de 1% ao mês capitalizada, quando o DL 413/69, art. 5º, parágrafo único, limita a elevação a 1% ao ano. Defesa: critério preclusão, não erro material.</w:t>
      </w:r>
    </w:p>
    <w:p>
      <w:pPr>
        <w:spacing w:after="120" w:line="360"/>
        <w:jc w:val="both"/>
      </w:pPr>
      <w:r>
        <w:rPr>
          <w:rFonts w:ascii="Times New Roman" w:cs="Times New Roman" w:eastAsia="Times New Roman" w:hAnsi="Times New Roman"/>
          <w:b/>
          <w:bCs/>
          <w:i w:val="false"/>
          <w:iCs w:val="false"/>
        </w:rPr>
        <w:t xml:space="preserve">Itens pendentes para fechar os 🟨:</w:t>
      </w:r>
      <w:r>
        <w:rPr>
          <w:rFonts w:ascii="Times New Roman" w:cs="Times New Roman" w:eastAsia="Times New Roman" w:hAnsi="Times New Roman"/>
          <w:b w:val="false"/>
          <w:bCs w:val="false"/>
          <w:i w:val="false"/>
          <w:iCs w:val="false"/>
        </w:rPr>
        <w:t xml:space="preserve"> contraminuta; sentença e acórdão dos Embargos 0015252 (fls. ~2140/2160 e-SAJ ou fls. 32/47 e 85 dos embargos digitalizados); fls. 3404; fls. 651, 655/673, 771/785, 1924/1931 e 1500/1505; arquivo correto do AREsp 1.539.138 e os julgados 1.455.741, 1.851.737, AI 2181564-67.2026 e AI 2297076-69.2024; Apelação 0017993-79.2012; Resolução TJSP 549/2011; leitura completa de "pag 55 a 173".</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SÍNTESE DA VERSÃO 3 (28/09/2026)</w:t>
      </w:r>
    </w:p>
    <w:p>
      <w:pPr>
        <w:pStyle w:val="ListParagraph"/>
        <w:numPr>
          <w:ilvl w:val="0"/>
          <w:numId w:val="7"/>
        </w:numPr>
        <w:spacing w:after="80" w:line="34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O regime do julgamento virtual mudou.</w:t>
      </w:r>
      <w:r>
        <w:rPr>
          <w:rFonts w:ascii="Times New Roman" w:cs="Times New Roman" w:eastAsia="Times New Roman" w:hAnsi="Times New Roman"/>
          <w:b w:val="false"/>
          <w:bCs w:val="false"/>
          <w:i w:val="false"/>
          <w:iCs w:val="false"/>
        </w:rPr>
        <w:t xml:space="preserve"> A Resolução TJSP 984/2025 revogou a 549/2011. A objeção ao julgamento eletrônico pode ser apresentada até 48 horas antes do início da sessão, e não mais em cinco dias da distribuição. Sustentação oral continua incabível neste agravo. O instrumento principal é o memorial, protocolado já, com despacho com a Relatora.</w:t>
      </w:r>
    </w:p>
    <w:p>
      <w:pPr>
        <w:pStyle w:val="ListParagraph"/>
        <w:numPr>
          <w:ilvl w:val="0"/>
          <w:numId w:val="7"/>
        </w:numPr>
        <w:spacing w:after="80" w:line="34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Fls. 52 e-SAJ / 23 física fixou honorários só "em caso de pagamento ou de não apresentação de embargos".</w:t>
      </w:r>
      <w:r>
        <w:rPr>
          <w:rFonts w:ascii="Times New Roman" w:cs="Times New Roman" w:eastAsia="Times New Roman" w:hAnsi="Times New Roman"/>
          <w:b w:val="false"/>
          <w:bCs w:val="false"/>
          <w:i w:val="false"/>
          <w:iCs w:val="false"/>
        </w:rPr>
        <w:t xml:space="preserve"> Como houve embargos, a verba que vale é a da sentença dos embargos. Isso esvazia o argumento do executado de que os honorários são de 10% "conforme mandado de fls. 54".</w:t>
      </w:r>
    </w:p>
    <w:p>
      <w:pPr>
        <w:pStyle w:val="ListParagraph"/>
        <w:numPr>
          <w:ilvl w:val="0"/>
          <w:numId w:val="7"/>
        </w:numPr>
        <w:spacing w:after="80" w:line="34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REsp 1.538.235/DF é contrário.</w:t>
      </w:r>
      <w:r>
        <w:rPr>
          <w:rFonts w:ascii="Times New Roman" w:cs="Times New Roman" w:eastAsia="Times New Roman" w:hAnsi="Times New Roman"/>
          <w:b w:val="false"/>
          <w:bCs w:val="false"/>
          <w:i w:val="false"/>
          <w:iCs w:val="false"/>
        </w:rPr>
        <w:t xml:space="preserve"> O Gemini o apresentou como favorável. Ele afasta a preclusão da conta homologada pelo contador antes da penhora. A distinção está no Bloco I.</w:t>
      </w:r>
    </w:p>
    <w:p>
      <w:pPr>
        <w:pStyle w:val="ListParagraph"/>
        <w:numPr>
          <w:ilvl w:val="0"/>
          <w:numId w:val="7"/>
        </w:numPr>
        <w:spacing w:after="80" w:line="34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Os dois agravos novos do TJSP são de dois gumes.</w:t>
      </w:r>
      <w:r>
        <w:rPr>
          <w:rFonts w:ascii="Times New Roman" w:cs="Times New Roman" w:eastAsia="Times New Roman" w:hAnsi="Times New Roman"/>
          <w:b w:val="false"/>
          <w:bCs w:val="false"/>
          <w:i w:val="false"/>
          <w:iCs w:val="false"/>
        </w:rPr>
        <w:t xml:space="preserve"> O AI 2181564 protege o credor contra a homologação automática da conta do executado, mas afirma que o juiz pode rever cálculos de ofício. O AI 2297076 pune ato sem ressalva e será usado contra a planilha de fls. 3077/3078.</w:t>
      </w:r>
    </w:p>
    <w:p>
      <w:pPr>
        <w:pStyle w:val="ListParagraph"/>
        <w:numPr>
          <w:ilvl w:val="0"/>
          <w:numId w:val="7"/>
        </w:numPr>
        <w:spacing w:after="80" w:line="34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A auditoria do Gemini não serve de base.</w:t>
      </w:r>
      <w:r>
        <w:rPr>
          <w:rFonts w:ascii="Times New Roman" w:cs="Times New Roman" w:eastAsia="Times New Roman" w:hAnsi="Times New Roman"/>
          <w:b w:val="false"/>
          <w:bCs w:val="false"/>
          <w:i w:val="false"/>
          <w:iCs w:val="false"/>
        </w:rPr>
        <w:t xml:space="preserve"> Ela afirma ter todos os documentos, erra folhas e valores, inventa um atestado em fls. 3065, atribui à Relatora a expressão "devedor contumaz" e omite o risco do </w:t>
      </w:r>
      <w:r>
        <w:rPr>
          <w:rFonts w:ascii="Times New Roman" w:cs="Times New Roman" w:eastAsia="Times New Roman" w:hAnsi="Times New Roman"/>
          <w:b w:val="false"/>
          <w:bCs w:val="false"/>
          <w:i/>
          <w:iCs/>
        </w:rPr>
        <w:t xml:space="preserve">venire</w:t>
      </w:r>
      <w:r>
        <w:rPr>
          <w:rFonts w:ascii="Times New Roman" w:cs="Times New Roman" w:eastAsia="Times New Roman" w:hAnsi="Times New Roman"/>
          <w:b w:val="false"/>
          <w:bCs w:val="false"/>
          <w:i w:val="false"/>
          <w:iCs w:val="false"/>
        </w:rPr>
        <w:t xml:space="preserve">.</w:t>
      </w:r>
    </w:p>
    <w:sectPr>
      <w:headerReference w:type="default" r:id="rId7"/>
      <w:footerReference w:type="default" r:id="rId8"/>
      <w:pgSz w:w="11906" w:h="16838" w:orient="portrait"/>
      <w:pgMar w:top="1701" w:right="1134" w:bottom="1134" w:left="1701" w:header="709"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8"/>
        <w:szCs w:val="18"/>
      </w:rPr>
      <w:t xml:space="preserve">Documento de trabalho — uso restrito da parte e de seu advogado   |   Página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r>
      <w:rPr>
        <w:rFonts w:ascii="Times New Roman" w:cs="Times New Roman" w:eastAsia="Times New Roman" w:hAnsi="Times New Roman"/>
        <w:color w:val="595959"/>
        <w:sz w:val="18"/>
        <w:szCs w:val="18"/>
      </w:rPr>
      <w:t xml:space="preserve"> de </w:t>
    </w:r>
    <w:r>
      <w:rPr>
        <w:rFonts w:ascii="Times New Roman" w:cs="Times New Roman" w:eastAsia="Times New Roman" w:hAnsi="Times New Roman"/>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2"/>
      </w:pBdr>
      <w:jc w:val="right"/>
    </w:pPr>
    <w:r>
      <w:rPr>
        <w:rFonts w:ascii="Times New Roman" w:cs="Times New Roman" w:eastAsia="Times New Roman" w:hAnsi="Times New Roman"/>
        <w:color w:val="595959"/>
        <w:sz w:val="18"/>
        <w:szCs w:val="18"/>
      </w:rPr>
      <w:t xml:space="preserve">Auditoria pente-fino para memoriais — AI nº 2186351-42.2026.8.26.0000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lvl w:ilvl="2" w15:tentative="1">
      <w:start w:val="1"/>
      <w:numFmt w:val="bullet"/>
      <w:lvlText w:val="▪"/>
      <w:lvlJc w:val="left"/>
      <w:pPr>
        <w:ind w:left="1701" w:hanging="283"/>
      </w:pPr>
    </w:lvl>
  </w:abstractNum>
  <w:abstractNum w:abstractNumId="3" w15:restartNumberingAfterBreak="0">
    <w:multiLevelType w:val="hybridMultilevel"/>
    <w:lvl w:ilvl="0" w15:tentative="1">
      <w:start w:val="1"/>
      <w:numFmt w:val="decimal"/>
      <w:lvlText w:val="%1."/>
      <w:lvlJc w:val="left"/>
      <w:pPr>
        <w:ind w:left="567" w:hanging="360"/>
      </w:pPr>
    </w:lvl>
    <w:lvl w:ilvl="1" w15:tentative="1">
      <w:start w:val="1"/>
      <w:numFmt w:val="lowerLetter"/>
      <w:lvlText w:val="%2."/>
      <w:lvlJc w:val="left"/>
      <w:pPr>
        <w:ind w:left="1134" w:hanging="360"/>
      </w:pPr>
    </w:lvl>
    <w:lvl w:ilvl="2" w15:tentative="1">
      <w:start w:val="1"/>
      <w:numFmt w:val="lowerRoman"/>
      <w:lvlText w:val="%3."/>
      <w:lvlJc w:val="left"/>
      <w:pPr>
        <w:ind w:left="1701" w:hanging="360"/>
      </w:pPr>
    </w:lvl>
  </w:abstractNum>
  <w:abstractNum w:abstractNumId="4" w15:restartNumberingAfterBreak="0">
    <w:multiLevelType w:val="hybridMultilevel"/>
    <w:lvl w:ilvl="0" w15:tentative="1">
      <w:start w:val="1"/>
      <w:numFmt w:val="decimal"/>
      <w:lvlText w:val="%1."/>
      <w:lvlJc w:val="left"/>
      <w:pPr>
        <w:ind w:left="567" w:hanging="360"/>
      </w:pPr>
    </w:lvl>
    <w:lvl w:ilvl="1" w15:tentative="1">
      <w:start w:val="1"/>
      <w:numFmt w:val="lowerLetter"/>
      <w:lvlText w:val="%2."/>
      <w:lvlJc w:val="left"/>
      <w:pPr>
        <w:ind w:left="1134" w:hanging="360"/>
      </w:pPr>
    </w:lvl>
    <w:lvl w:ilvl="2" w15:tentative="1">
      <w:start w:val="1"/>
      <w:numFmt w:val="lowerRoman"/>
      <w:lvlText w:val="%3."/>
      <w:lvlJc w:val="left"/>
      <w:pPr>
        <w:ind w:left="1701" w:hanging="360"/>
      </w:pPr>
    </w:lvl>
  </w:abstractNum>
  <w:abstractNum w:abstractNumId="5" w15:restartNumberingAfterBreak="0">
    <w:multiLevelType w:val="hybridMultilevel"/>
    <w:lvl w:ilvl="0" w15:tentative="1">
      <w:start w:val="1"/>
      <w:numFmt w:val="decimal"/>
      <w:lvlText w:val="%1."/>
      <w:lvlJc w:val="left"/>
      <w:pPr>
        <w:ind w:left="567" w:hanging="360"/>
      </w:pPr>
    </w:lvl>
    <w:lvl w:ilvl="1" w15:tentative="1">
      <w:start w:val="1"/>
      <w:numFmt w:val="lowerLetter"/>
      <w:lvlText w:val="%2."/>
      <w:lvlJc w:val="left"/>
      <w:pPr>
        <w:ind w:left="1134" w:hanging="360"/>
      </w:pPr>
    </w:lvl>
    <w:lvl w:ilvl="2" w15:tentative="1">
      <w:start w:val="1"/>
      <w:numFmt w:val="lowerRoman"/>
      <w:lvlText w:val="%3."/>
      <w:lvlJc w:val="left"/>
      <w:pPr>
        <w:ind w:left="1701" w:hanging="360"/>
      </w:pPr>
    </w:lvl>
  </w:abstractNum>
  <w:abstractNum w:abstractNumId="6" w15:restartNumberingAfterBreak="0">
    <w:multiLevelType w:val="hybridMultilevel"/>
    <w:lvl w:ilvl="0" w15:tentative="1">
      <w:start w:val="1"/>
      <w:numFmt w:val="decimal"/>
      <w:lvlText w:val="%1."/>
      <w:lvlJc w:val="left"/>
      <w:pPr>
        <w:ind w:left="567" w:hanging="360"/>
      </w:pPr>
    </w:lvl>
    <w:lvl w:ilvl="1" w15:tentative="1">
      <w:start w:val="1"/>
      <w:numFmt w:val="lowerLetter"/>
      <w:lvlText w:val="%2."/>
      <w:lvlJc w:val="left"/>
      <w:pPr>
        <w:ind w:left="1134" w:hanging="360"/>
      </w:pPr>
    </w:lvl>
    <w:lvl w:ilvl="2" w15:tentative="1">
      <w:start w:val="1"/>
      <w:numFmt w:val="lowerRoman"/>
      <w:lvlText w:val="%3."/>
      <w:lvlJc w:val="left"/>
      <w:pPr>
        <w:ind w:left="1701" w:hanging="360"/>
      </w:pPr>
    </w:lvl>
  </w:abstractNum>
  <w:abstractNum w:abstractNumId="7" w15:restartNumberingAfterBreak="0">
    <w:multiLevelType w:val="hybridMultilevel"/>
    <w:lvl w:ilvl="0" w15:tentative="1">
      <w:start w:val="1"/>
      <w:numFmt w:val="decimal"/>
      <w:lvlText w:val="%1."/>
      <w:lvlJc w:val="left"/>
      <w:pPr>
        <w:ind w:left="567" w:hanging="360"/>
      </w:pPr>
    </w:lvl>
    <w:lvl w:ilvl="1" w15:tentative="1">
      <w:start w:val="1"/>
      <w:numFmt w:val="lowerLetter"/>
      <w:lvlText w:val="%2."/>
      <w:lvlJc w:val="left"/>
      <w:pPr>
        <w:ind w:left="1134" w:hanging="360"/>
      </w:pPr>
    </w:lvl>
    <w:lvl w:ilvl="2" w15:tentative="1">
      <w:start w:val="1"/>
      <w:numFmt w:val="lowerRoman"/>
      <w:lvlText w:val="%3."/>
      <w:lvlJc w:val="left"/>
      <w:pPr>
        <w:ind w:left="1701"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2"/>
      </w:pBdr>
      <w:spacing w:after="180" w:before="360"/>
      <w:outlineLvl w:val="0"/>
    </w:pPr>
    <w:rPr>
      <w:rFonts w:ascii="Times New Roman" w:cs="Times New Roman" w:eastAsia="Times New Roman" w:hAnsi="Times New Roman"/>
      <w:b/>
      <w:bCs/>
      <w:color w:val="1F3864"/>
      <w:sz w:val="26"/>
      <w:szCs w:val="26"/>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3864"/>
      <w:sz w:val="24"/>
      <w:szCs w:val="24"/>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Parecer de Auditoria Jurídico-Processual — AI 2186351-42.2026.8.26.0000</dc:title>
  <dc:creator>Parecer técnico</dc:creator>
  <cp:lastModifiedBy>Un-named</cp:lastModifiedBy>
  <cp:revision>1</cp:revision>
  <dcterms:created xsi:type="dcterms:W3CDTF">2026-09-28T11:57:45.605Z</dcterms:created>
  <dcterms:modified xsi:type="dcterms:W3CDTF">2026-09-28T11:57:45.617Z</dcterms:modified>
</cp:coreProperties>
</file>

<file path=docProps/custom.xml><?xml version="1.0" encoding="utf-8"?>
<Properties xmlns="http://schemas.openxmlformats.org/officeDocument/2006/custom-properties" xmlns:vt="http://schemas.openxmlformats.org/officeDocument/2006/docPropsVTypes"/>
</file>