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PARECER DE AUDITORIA JURÍDICO-PROCESSUAL</w:t>
      </w:r>
    </w:p>
    <w:p>
      <w:pPr>
        <w:jc w:val="both"/>
      </w:pPr>
      <w:r>
        <w:rPr>
          <w:b/>
        </w:rPr>
        <w:t>Agravo de Instrumento nº 2186351-42.2026.8.26.0000 — 13ª Câmara de Direito Privado do TJSP</w:t>
      </w:r>
    </w:p>
    <w:p>
      <w:pPr>
        <w:jc w:val="both"/>
      </w:pPr>
      <w:r>
        <w:rPr>
          <w:b/>
        </w:rPr>
        <w:t>Relatora: Des. Ana de Lourdes Coutinho Silva da Fonseca</w:t>
      </w:r>
      <w:r>
        <w:t xml:space="preserve"> (preventa: AI 2236655-84.2022.8.26.0000)</w:t>
      </w:r>
    </w:p>
    <w:p>
      <w:pPr>
        <w:jc w:val="both"/>
      </w:pPr>
      <w:r>
        <w:rPr>
          <w:b/>
        </w:rPr>
        <w:t>Origem: Execução de Título Extrajudicial nº 0000001-82.1987.8.26.0408 — 3ª Vara Cível de Ourinhos/SP</w:t>
      </w:r>
    </w:p>
    <w:p>
      <w:pPr>
        <w:jc w:val="both"/>
      </w:pPr>
      <w:r>
        <w:rPr>
          <w:b/>
        </w:rPr>
        <w:t>Agravantes:</w:t>
      </w:r>
      <w:r>
        <w:t xml:space="preserve"> Eduardo Oliveira Rosini, Karla Alessandra Oliveira Rosini Rocha e Cíntia Oliveira Rosini</w:t>
      </w:r>
    </w:p>
    <w:p>
      <w:pPr>
        <w:jc w:val="both"/>
      </w:pPr>
      <w:r>
        <w:rPr>
          <w:b/>
        </w:rPr>
        <w:t>Agravado:</w:t>
      </w:r>
      <w:r>
        <w:t xml:space="preserve"> Espólio de Sérgio Bueno Pereira da Cunha</w:t>
      </w:r>
    </w:p>
    <w:p>
      <w:pPr>
        <w:jc w:val="both"/>
      </w:pPr>
      <w:r>
        <w:t>Data-base da análise: 26/09/2026. Situação: concluso à Relatora desde 26/08/2026, contraminuta juntada em 24/08/2026, efeito suspensivo indeferido em 27/07/2026 e sem julgamento até esta data.</w:t>
      </w:r>
    </w:p>
    <w:p>
      <w:pPr>
        <w:ind w:left="680"/>
      </w:pPr>
      <w:r>
        <w:rPr>
          <w:b/>
          <w:sz w:val="22"/>
        </w:rPr>
        <w:t>Nota de método e de responsabilidade.</w:t>
      </w:r>
      <w:r>
        <w:rPr>
          <w:sz w:val="22"/>
        </w:rPr>
        <w:t xml:space="preserve"> Este é um parecer técnico de apoio à advocacia, escrito "como se" fosse o exame de um gabinete. Não é, nem simula ser, manifestação do Tribunal.</w:t>
      </w:r>
    </w:p>
    <w:p>
      <w:pPr>
        <w:ind w:left="680"/>
      </w:pPr>
    </w:p>
    <w:p>
      <w:pPr>
        <w:ind w:left="680"/>
      </w:pPr>
      <w:r>
        <w:rPr>
          <w:sz w:val="22"/>
        </w:rPr>
        <w:t>Os fatos vêm de três fontes, sempre indicadas: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[DOC]</w:t>
      </w:r>
      <w:r>
        <w:rPr>
          <w:sz w:val="22"/>
        </w:rPr>
        <w:t>: documento judicial (texto ou imagem) localizado no Drive;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[TRANSCR.]</w:t>
      </w:r>
      <w:r>
        <w:rPr>
          <w:sz w:val="22"/>
        </w:rPr>
        <w:t>: transcrição feita pelo usuário, ainda não conferida com o original;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[MINUTA]</w:t>
      </w:r>
      <w:r>
        <w:rPr>
          <w:sz w:val="22"/>
        </w:rPr>
        <w:t>: peça da própria parte.</w:t>
      </w:r>
    </w:p>
    <w:p>
      <w:pPr>
        <w:ind w:left="680"/>
      </w:pPr>
    </w:p>
    <w:p>
      <w:pPr>
        <w:ind w:left="680"/>
      </w:pPr>
      <w:r>
        <w:rPr>
          <w:sz w:val="22"/>
        </w:rPr>
        <w:t>Os precedentes da Seção 4 levam uma de três marcas: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VERIFICADO</w:t>
      </w:r>
      <w:r>
        <w:rPr>
          <w:sz w:val="22"/>
        </w:rPr>
        <w:t>: inteiro teor lido;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VERIFICADO (secundária)</w:t>
      </w:r>
      <w:r>
        <w:rPr>
          <w:sz w:val="22"/>
        </w:rPr>
        <w:t>: conferido por transcrição em acórdão oficial;</w:t>
      </w:r>
    </w:p>
    <w:p>
      <w:pPr>
        <w:ind w:left="680"/>
      </w:pPr>
      <w:r>
        <w:rPr>
          <w:sz w:val="22"/>
        </w:rPr>
        <w:t xml:space="preserve">• </w:t>
      </w:r>
      <w:r>
        <w:rPr>
          <w:b/>
          <w:sz w:val="22"/>
        </w:rPr>
        <w:t>A CONFIRMAR</w:t>
      </w:r>
      <w:r>
        <w:rPr>
          <w:sz w:val="22"/>
        </w:rPr>
        <w:t>: não foi possível conferir. Não use antes de consultar o SCON/STJ ou o e-SAJ.</w:t>
      </w:r>
    </w:p>
    <w:p>
      <w:pPr>
        <w:ind w:left="680"/>
      </w:pPr>
    </w:p>
    <w:p>
      <w:pPr>
        <w:ind w:left="680"/>
      </w:pPr>
      <w:r>
        <w:rPr>
          <w:sz w:val="22"/>
        </w:rPr>
        <w:t>Nenhum precedente deste parecer foi "reconstruído de memória" sem essa marcação.</w:t>
      </w:r>
    </w:p>
    <w:p>
      <w:pPr>
        <w:pStyle w:val="Heading2"/>
      </w:pPr>
      <w:r>
        <w:t>SUMÁRIO EXECUTIVO (leitura obrigatória antes do memorial)</w:t>
      </w:r>
    </w:p>
    <w:p>
      <w:pPr>
        <w:jc w:val="both"/>
      </w:pPr>
      <w:r>
        <w:rPr>
          <w:b/>
        </w:rPr>
        <w:t>1. O maior risco do agravo não é o anatocismo. É a preclusão que corre contra os próprios agravantes.</w:t>
      </w:r>
    </w:p>
    <w:p>
      <w:pPr>
        <w:pStyle w:val="ListBullet"/>
        <w:ind w:left="454"/>
      </w:pPr>
      <w:r>
        <w:t>A decisão de fls. 3064/3066 (29/05/2025) rejeitou expressamente a metodologia de fls. 3055, "partindo indevidamente de montante já atualizado e acrescido de juros, multa e honorários". Ordenou ainda o recálculo a partir do principal de maio/1987 [DOC, reproduzida no acórdão de fls. 3347/3349].</w:t>
      </w:r>
    </w:p>
    <w:p>
      <w:pPr>
        <w:pStyle w:val="ListBullet"/>
        <w:ind w:left="454"/>
      </w:pPr>
      <w:r>
        <w:rPr>
          <w:b/>
        </w:rPr>
        <w:t>Os exequentes não recorreram.</w:t>
      </w:r>
      <w:r>
        <w:t xml:space="preserve"> Apenas o executado agravou (AI 2236642-80.2025, </w:t>
      </w:r>
      <w:r>
        <w:rPr>
          <w:b/>
        </w:rPr>
        <w:t>da mesma Relatora</w:t>
      </w:r>
      <w:r>
        <w:t>, com trânsito em julgado em 04/11/2025).</w:t>
      </w:r>
    </w:p>
    <w:p>
      <w:pPr>
        <w:pStyle w:val="ListBullet"/>
        <w:ind w:left="454"/>
      </w:pPr>
      <w:r>
        <w:t xml:space="preserve">Em 13/06/2025, os exequentes protocolaram a petição de fls. 3077/3078 </w:t>
      </w:r>
      <w:r>
        <w:rPr>
          <w:b/>
        </w:rPr>
        <w:t>"em atendimento à r. decisão"</w:t>
      </w:r>
      <w:r>
        <w:t xml:space="preserve">, </w:t>
      </w:r>
      <w:r>
        <w:rPr>
          <w:b/>
        </w:rPr>
        <w:t>sem nenhuma ressalva</w:t>
      </w:r>
      <w:r>
        <w:t xml:space="preserve"> [DOC].</w:t>
      </w:r>
    </w:p>
    <w:p>
      <w:pPr>
        <w:pStyle w:val="ListBullet"/>
        <w:ind w:left="454"/>
      </w:pPr>
      <w:r>
        <w:t>Depois do acórdão, o despacho de fls. 3352 reiterou a observância da fls. 3066, item 2, e também não foi impugnado.</w:t>
      </w:r>
    </w:p>
    <w:p>
      <w:pPr>
        <w:pStyle w:val="ListBullet"/>
        <w:ind w:left="454"/>
      </w:pPr>
      <w:r>
        <w:t xml:space="preserve">A decisão agravada (fls. 3435/3437) é, em larga medida, </w:t>
      </w:r>
      <w:r>
        <w:rPr>
          <w:b/>
        </w:rPr>
        <w:t>reiteração</w:t>
      </w:r>
      <w:r>
        <w:t xml:space="preserve"> desse comando. Existe risco concreto de </w:t>
      </w:r>
      <w:r>
        <w:rPr>
          <w:b/>
        </w:rPr>
        <w:t>não conhecimento parcial</w:t>
      </w:r>
      <w:r>
        <w:t xml:space="preserve">, por intempestividade reflexa (decisão meramente confirmatória), ou de </w:t>
      </w:r>
      <w:r>
        <w:rPr>
          <w:b/>
        </w:rPr>
        <w:t>desprovimento</w:t>
      </w:r>
      <w:r>
        <w:t xml:space="preserve"> fundado em preclusão lógica e consumativa.</w:t>
      </w:r>
    </w:p>
    <w:p>
      <w:pPr>
        <w:jc w:val="both"/>
      </w:pPr>
      <w:r>
        <w:rPr>
          <w:b/>
        </w:rPr>
        <w:t>2. O despacho de 27/07/2026 já sinaliza a leitura da Relatora.</w:t>
      </w:r>
      <w:r>
        <w:t xml:space="preserve"> Ao indeferir o efeito suspensivo, ela qualificou a ordem como "simples cumprimento da determinação […] (reformulação, pela parte exequente, dos cálculos do débito)".</w:t>
      </w:r>
    </w:p>
    <w:p>
      <w:pPr>
        <w:jc w:val="both"/>
      </w:pPr>
      <w:r>
        <w:rPr>
          <w:b/>
        </w:rPr>
        <w:t>3. O argumento mais forte dos agravantes está subaproveitado na minuta.</w:t>
      </w:r>
      <w:r>
        <w:t xml:space="preserve"> Três elementos se somam:</w:t>
      </w:r>
    </w:p>
    <w:p>
      <w:pPr>
        <w:pStyle w:val="ListBullet"/>
        <w:ind w:left="454"/>
      </w:pPr>
      <w:r>
        <w:t xml:space="preserve">O acórdão do AI 2236642-80.2025, da própria Relatora, afirmou que a exceção de pré-executividade do executado </w:t>
      </w:r>
      <w:r>
        <w:rPr>
          <w:b/>
        </w:rPr>
        <w:t>veiculou uma única tese</w:t>
      </w:r>
      <w:r>
        <w:t>: a impossibilidade de cessionários pessoas físicas cobrarem encargos bancários.</w:t>
      </w:r>
    </w:p>
    <w:p>
      <w:pPr>
        <w:pStyle w:val="ListBullet"/>
        <w:ind w:left="454"/>
      </w:pPr>
      <w:r>
        <w:t xml:space="preserve">A fls. 3064/3066 foi proferida em </w:t>
      </w:r>
      <w:r>
        <w:rPr>
          <w:b/>
        </w:rPr>
        <w:t>embargos de declaração do executado</w:t>
      </w:r>
      <w:r>
        <w:t xml:space="preserve">, que foram </w:t>
      </w:r>
      <w:r>
        <w:rPr>
          <w:b/>
        </w:rPr>
        <w:t>rejeitados</w:t>
      </w:r>
      <w:r>
        <w:t>.</w:t>
      </w:r>
    </w:p>
    <w:p>
      <w:pPr>
        <w:pStyle w:val="ListBullet"/>
        <w:ind w:left="454"/>
      </w:pPr>
      <w:r>
        <w:t xml:space="preserve">Mesmo assim, essa decisão </w:t>
      </w:r>
      <w:r>
        <w:rPr>
          <w:b/>
        </w:rPr>
        <w:t>inovou de ofício</w:t>
      </w:r>
      <w:r>
        <w:t xml:space="preserve"> ao desconstituir a base de uma conta homologada em 1995.</w:t>
      </w:r>
    </w:p>
    <w:p>
      <w:pPr>
        <w:jc w:val="both"/>
      </w:pPr>
      <w:r>
        <w:t xml:space="preserve">Com isso, há violação: (i) à preclusão </w:t>
      </w:r>
      <w:r>
        <w:rPr>
          <w:i/>
        </w:rPr>
        <w:t>pro judicato</w:t>
      </w:r>
      <w:r>
        <w:t xml:space="preserve"> (art. 505 do CPC; arts. 471 e 473 do CPC/73, vigentes em 1995); (ii) à vedação de conhecer de ofício a abusividade de encargos bancários (</w:t>
      </w:r>
      <w:r>
        <w:rPr>
          <w:b/>
        </w:rPr>
        <w:t>Súmula 381/STJ</w:t>
      </w:r>
      <w:r>
        <w:t xml:space="preserve">); (iii) aos limites dos embargos de declaração (art. 1.022 do CPC); e (iv) à vedação de decisão-surpresa (arts. 9º e 10 do CPC). </w:t>
      </w:r>
      <w:r>
        <w:rPr>
          <w:b/>
        </w:rPr>
        <w:t>Esse é o eixo que deve comandar o memorial.</w:t>
      </w:r>
      <w:r>
        <w:t xml:space="preserve"> A tese de que a "coisa julgada" é oponível "a qualquer tempo" deve sair de cena.</w:t>
      </w:r>
    </w:p>
    <w:p>
      <w:pPr>
        <w:jc w:val="both"/>
      </w:pPr>
      <w:r>
        <w:rPr>
          <w:b/>
        </w:rPr>
        <w:t>4. Magnitude e credibilidade.</w:t>
      </w:r>
    </w:p>
    <w:p>
      <w:pPr>
        <w:pStyle w:val="ListBullet"/>
        <w:ind w:left="454"/>
      </w:pPr>
      <w:r>
        <w:t>O saldo de 1995 (R</w:t>
      </w:r>
      <w:r>
        <w:rPr>
          <w:i/>
        </w:rPr>
        <w:t xml:space="preserve"> 5.256.733,85) equivale a cerca de **68 vezes** o principal de 1987 corrigido apenas pela Tabela Prática até out/1995 (R</w:t>
      </w:r>
      <w:r>
        <w:t xml:space="preserve"> 77.323,12).</w:t>
      </w:r>
    </w:p>
    <w:p>
      <w:pPr>
        <w:pStyle w:val="ListBullet"/>
        <w:ind w:left="454"/>
      </w:pPr>
      <w:r>
        <w:t xml:space="preserve">A conta da Contadoria traz, na mesma peça, a taxa de encargos grafada como "57,18% </w:t>
      </w:r>
      <w:r>
        <w:rPr>
          <w:b/>
        </w:rPr>
        <w:t>a.m.</w:t>
      </w:r>
      <w:r>
        <w:t xml:space="preserve">" (fls. 134) e "57,18% </w:t>
      </w:r>
      <w:r>
        <w:rPr>
          <w:b/>
        </w:rPr>
        <w:t>a.a.</w:t>
      </w:r>
      <w:r>
        <w:t xml:space="preserve">" (fls. 137). </w:t>
      </w:r>
      <w:r>
        <w:rPr>
          <w:b/>
        </w:rPr>
        <w:t>Conferência feita neste parecer:</w:t>
      </w:r>
      <w:r>
        <w:t xml:space="preserve"> a recomposição mês a mês das oito primeiras linhas (06/1987 a 01/1988) mostra que a taxa efetivamente aplicada foi </w:t>
      </w:r>
      <w:r>
        <w:rPr>
          <w:b/>
        </w:rPr>
        <w:t>57,18% ao ano nominal (≈ 4,76% a.m.)</w:t>
      </w:r>
      <w:r>
        <w:t xml:space="preserve">, somada a 1% a.m. de mora e à correção, com capitalização mensal (resíduo constante de −0,005%). A grafia "a.m." é, portanto, </w:t>
      </w:r>
      <w:r>
        <w:rPr>
          <w:b/>
        </w:rPr>
        <w:t>erro de digitação sem reflexo no saldo</w:t>
      </w:r>
      <w:r>
        <w:t xml:space="preserve">. Remanesce, porém, a mora de </w:t>
      </w:r>
      <w:r>
        <w:rPr>
          <w:b/>
        </w:rPr>
        <w:t>1% ao mês capitalizada</w:t>
      </w:r>
      <w:r>
        <w:t>.</w:t>
      </w:r>
    </w:p>
    <w:p>
      <w:pPr>
        <w:pStyle w:val="ListBullet"/>
        <w:ind w:left="454"/>
      </w:pPr>
      <w:r>
        <w:t xml:space="preserve">O art. 5º, parágrafo único, do DL 413/69 limita a elevação por mora a </w:t>
      </w:r>
      <w:r>
        <w:rPr>
          <w:b/>
        </w:rPr>
        <w:t>1% ao ano</w:t>
      </w:r>
      <w:r>
        <w:t>.</w:t>
      </w:r>
    </w:p>
    <w:p>
      <w:pPr>
        <w:pStyle w:val="ListBullet"/>
        <w:ind w:left="454"/>
      </w:pPr>
      <w:r>
        <w:t>Tudo isso, diante de R</w:t>
      </w:r>
      <w:r>
        <w:rPr>
          <w:i/>
        </w:rPr>
        <w:t xml:space="preserve"> 185 milhões pedidos contra um imóvel avaliado em R</w:t>
      </w:r>
      <w:r>
        <w:t xml:space="preserve"> 12,8 milhões (nov/2025), gera forte pressão para que a Câmara trate o caso como </w:t>
      </w:r>
      <w:r>
        <w:rPr>
          <w:b/>
        </w:rPr>
        <w:t>erro material</w:t>
      </w:r>
      <w:r>
        <w:t xml:space="preserve">, corrigível a qualquer tempo. </w:t>
      </w:r>
      <w:r>
        <w:rPr>
          <w:b/>
        </w:rPr>
        <w:t>Auditar a conta de 1995 antes do memorial é prioridade absoluta</w:t>
      </w:r>
      <w:r>
        <w:t xml:space="preserve"> (ver Seção 5, item C).</w:t>
      </w:r>
    </w:p>
    <w:p>
      <w:pPr>
        <w:jc w:val="both"/>
      </w:pPr>
      <w:r>
        <w:rPr>
          <w:b/>
        </w:rPr>
        <w:t>5. Há fragilidades factuais que podem contaminar a credibilidade da peça.</w:t>
      </w:r>
      <w:r>
        <w:t xml:space="preserve"> Todas são corrigíveis no memorial:</w:t>
      </w:r>
    </w:p>
    <w:p>
      <w:pPr>
        <w:pStyle w:val="ListBullet"/>
        <w:ind w:left="454"/>
      </w:pPr>
      <w:r>
        <w:rPr>
          <w:b/>
        </w:rPr>
        <w:t>Honorários de fls. 52.</w:t>
      </w:r>
      <w:r>
        <w:t xml:space="preserve"> A transcrição diz 20% "sobre o </w:t>
      </w:r>
      <w:r>
        <w:rPr>
          <w:b/>
        </w:rPr>
        <w:t>valor dado à causa</w:t>
      </w:r>
      <w:r>
        <w:t>", enquanto o agravo afirma 20% "sobre o débito". O executado alega 10% pelo mandado de fls. 54.</w:t>
      </w:r>
    </w:p>
    <w:p>
      <w:pPr>
        <w:pStyle w:val="ListBullet"/>
        <w:ind w:left="454"/>
      </w:pPr>
      <w:r>
        <w:rPr>
          <w:b/>
        </w:rPr>
        <w:t>Petição de fls. 3407/3409.</w:t>
      </w:r>
      <w:r>
        <w:t xml:space="preserve"> Refere-se aos exequentes como "a executada", invoca "processo do trabalho" e afirma que a homologação "foi objeto das medidas recursais cabíveis", o que contradiz a certidão de fls. 152v.</w:t>
      </w:r>
    </w:p>
    <w:p>
      <w:pPr>
        <w:pStyle w:val="ListBullet"/>
        <w:ind w:left="454"/>
      </w:pPr>
      <w:r>
        <w:rPr>
          <w:b/>
        </w:rPr>
        <w:t>Parecer de fls. 3410/3418.</w:t>
      </w:r>
      <w:r>
        <w:t xml:space="preserve"> Cita a homologação em "fls. 2195".</w:t>
      </w:r>
    </w:p>
    <w:p>
      <w:pPr>
        <w:pStyle w:val="ListBullet"/>
        <w:ind w:left="454"/>
      </w:pPr>
      <w:r>
        <w:rPr>
          <w:b/>
        </w:rPr>
        <w:t>Planilha de fls. 3441/3443.</w:t>
      </w:r>
      <w:r>
        <w:t xml:space="preserve"> Aplica juros sobre "1.210.000,00" nominal, como se fossem reais, além de multa de 9% em vez de 1%.</w:t>
      </w:r>
    </w:p>
    <w:p>
      <w:pPr>
        <w:pStyle w:val="Heading2"/>
      </w:pPr>
      <w:r>
        <w:t>SEÇÃO 1 — AUDITORIA DE VULNERABILIDADES DA MINUTA DO AGRAVO</w:t>
      </w:r>
    </w:p>
    <w:p>
      <w:pPr>
        <w:pStyle w:val="Heading3"/>
      </w:pPr>
      <w:r>
        <w:t>1.1. Vulnerabilidade crítica: preclusão contra os agravantes e decisão meramente reiterativa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Marco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Conteúdo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Impugnação pelos exequentes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3038/3044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Rejeita a exceção de pré-executividade, registra que os credores "exigem […] o valor principal atualizado pela Tabela do TJSP, acrescido de juros de 1% ao mês" e aplica multa de 9% ao executado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Nenhuma (eram vencedores)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3055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Conta dos exequentes partindo de montante consolidado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3064/3066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29/05/2025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 xml:space="preserve">Rejeita os embargos de declaração do executado, </w:t>
            </w:r>
            <w:r>
              <w:rPr>
                <w:b/>
                <w:sz w:val="19"/>
              </w:rPr>
              <w:t>rejeita a metodologia de fls. 3055</w:t>
            </w:r>
            <w:r>
              <w:rPr>
                <w:sz w:val="19"/>
              </w:rPr>
              <w:t xml:space="preserve"> e ordena o recálculo a partir de maio/1987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Nenhuma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3077/3078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protocolo 13/06/2025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 xml:space="preserve">"Em atendimento à r. decisão", planilha de R$ 3.870.274,56, </w:t>
            </w:r>
            <w:r>
              <w:rPr>
                <w:b/>
                <w:sz w:val="19"/>
              </w:rPr>
              <w:t>sem ressalva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AI 2236642-80.2025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j. 07/10/2025; trânsito 04/11/2025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 xml:space="preserve">Agravo </w:t>
            </w:r>
            <w:r>
              <w:rPr>
                <w:b/>
                <w:sz w:val="19"/>
              </w:rPr>
              <w:t>do executado</w:t>
            </w:r>
            <w:r>
              <w:rPr>
                <w:sz w:val="19"/>
              </w:rPr>
              <w:t>; multa reduzida a 1% do valor executado; mantida no mais a decisão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Contrarrazões; não houve recurso próprio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3352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pós-acórdão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"observada a orientação a fls. 3.066, item 2"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Nenhuma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3407/3419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25/03/2026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Nova conta a partir do saldo de 1995: R$ 185.096.002,92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fls. 3435/3437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03/07/2026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Não conhece da petição e reitera a fls. 3066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Este agravo</w:t>
            </w:r>
          </w:p>
        </w:tc>
      </w:tr>
    </w:tbl>
    <w:p/>
    <w:p>
      <w:pPr>
        <w:jc w:val="both"/>
      </w:pPr>
      <w:r>
        <w:rPr>
          <w:b/>
        </w:rPr>
        <w:t>Como o gabinete tende a ler.</w:t>
      </w:r>
      <w:r>
        <w:t xml:space="preserve"> A fls. 3435 não decidiu nada novo: apenas reafirmou a fls. 3066, que precluiu para os exequentes. Estes, além de não recorrerem, praticaram ato incompatível sem ressalva (art. 1.000, parágrafo único, do CPC: </w:t>
      </w:r>
      <w:r>
        <w:rPr>
          <w:i/>
        </w:rPr>
        <w:t xml:space="preserve">"Considera-se aceitação tácita a prática, </w:t>
      </w:r>
      <w:r>
        <w:rPr>
          <w:i/>
        </w:rPr>
        <w:t>sem nenhuma reserva</w:t>
      </w:r>
      <w:r>
        <w:rPr>
          <w:i/>
        </w:rPr>
        <w:t>, de ato incompatível com a vontade de recorrer"</w:t>
      </w:r>
      <w:r>
        <w:t xml:space="preserve">). Há precedente do STJ na mesma linha: AgInt no REsp 1.476.534/CE, 2ª Turma, Rel. Min. Og Fernandes, j. 16/08/2021, </w:t>
      </w:r>
      <w:r>
        <w:rPr>
          <w:b/>
        </w:rPr>
        <w:t>VERIFICADO</w:t>
      </w:r>
      <w:r>
        <w:t xml:space="preserve">: </w:t>
      </w:r>
      <w:r>
        <w:rPr>
          <w:i/>
        </w:rPr>
        <w:t>"A apresentação de valores incontroversos, sem ressalva alguma, é incompatível com a subsequente discordância com os cálculos […] haja vista a ocorrência de preclusão lógica."</w:t>
      </w:r>
    </w:p>
    <w:p>
      <w:pPr>
        <w:jc w:val="both"/>
      </w:pPr>
      <w:r>
        <w:rPr>
          <w:b/>
        </w:rPr>
        <w:t>O que a minuta faz, e por que não basta (item IV.4):</w:t>
      </w:r>
    </w:p>
    <w:p>
      <w:pPr>
        <w:pStyle w:val="ListBullet"/>
        <w:ind w:left="454"/>
      </w:pPr>
      <w:r>
        <w:rPr>
          <w:b/>
        </w:rPr>
        <w:t>(a)</w:t>
      </w:r>
      <w:r>
        <w:t xml:space="preserve"> Afirma que a estabilidade de 1995 é "oponível a qualquer tempo" e "insuscetível de convalidação por preclusão de decisão interlocutória intermediária". A afirmação é </w:t>
      </w:r>
      <w:r>
        <w:rPr>
          <w:b/>
        </w:rPr>
        <w:t>doutrinariamente frágil</w:t>
      </w:r>
      <w:r>
        <w:t xml:space="preserve">. Preclusão não é coisa julgada, e o STJ afirma que se sujeitam à preclusão consumativa "as questões decididas no processo, </w:t>
      </w:r>
      <w:r>
        <w:rPr>
          <w:b/>
        </w:rPr>
        <w:t>inclusive as de ordem pública</w:t>
      </w:r>
      <w:r>
        <w:t xml:space="preserve">, que não tenham sido objeto de impugnação recursal no momento próprio" (AgInt no AREsp 2.019.623/SP, 4ª Turma, Rel. Min. Raul Araújo, </w:t>
      </w:r>
      <w:r>
        <w:rPr>
          <w:b/>
        </w:rPr>
        <w:t>VERIFICADO</w:t>
      </w:r>
      <w:r>
        <w:t xml:space="preserve">). </w:t>
      </w:r>
      <w:r>
        <w:rPr>
          <w:b/>
        </w:rPr>
        <w:t>Esse mesmo precedente corta nos dois sentidos:</w:t>
      </w:r>
      <w:r>
        <w:t xml:space="preserve"> protege a homologação de 1995, mas também a decisão de 2025, que não foi recorrida.</w:t>
      </w:r>
    </w:p>
    <w:p>
      <w:pPr>
        <w:pStyle w:val="ListBullet"/>
        <w:ind w:left="454"/>
      </w:pPr>
      <w:r>
        <w:rPr>
          <w:b/>
        </w:rPr>
        <w:t>(b)</w:t>
      </w:r>
      <w:r>
        <w:t xml:space="preserve"> Há ainda o risco de a Câmara aplicar, por analogia, o critério da Corte Especial do STJ para o conflito entre coisas julgadas: prevalece a última, enquanto não desconstituída (EAREsp 600.811/SP, Rel. Min. Og Fernandes, 2019, </w:t>
      </w:r>
      <w:r>
        <w:rPr>
          <w:b/>
        </w:rPr>
        <w:t>A CONFIRMAR</w:t>
      </w:r>
      <w:r>
        <w:t xml:space="preserve">). A minuta </w:t>
      </w:r>
      <w:r>
        <w:rPr>
          <w:b/>
        </w:rPr>
        <w:t>não enfrenta</w:t>
      </w:r>
      <w:r>
        <w:t xml:space="preserve"> esse risco.</w:t>
      </w:r>
    </w:p>
    <w:p>
      <w:pPr>
        <w:pStyle w:val="ListBullet"/>
        <w:ind w:left="454"/>
      </w:pPr>
      <w:r>
        <w:rPr>
          <w:b/>
        </w:rPr>
        <w:t>(c)</w:t>
      </w:r>
      <w:r>
        <w:t xml:space="preserve"> A distinção de que a fls. 3435 tem "fundamentos próprios" é correta, mas foi apresentada de passagem. Precisa virar tese estruturada (ver 1.1.1).</w:t>
      </w:r>
    </w:p>
    <w:p>
      <w:pPr>
        <w:pStyle w:val="Heading3"/>
      </w:pPr>
      <w:r>
        <w:t>1.1.1. Como blindar (argumentos a desenvolver no memorial)</w:t>
      </w:r>
    </w:p>
    <w:p>
      <w:pPr>
        <w:pStyle w:val="ListNumber"/>
        <w:ind w:left="454"/>
      </w:pPr>
      <w:r>
        <w:rPr>
          <w:b/>
        </w:rPr>
        <w:t>Invalidade da fls. 3066 por extrapolação dos limites do incidente.</w:t>
      </w:r>
    </w:p>
    <w:p>
      <w:pPr>
        <w:pStyle w:val="ListBullet"/>
        <w:ind w:left="907"/>
      </w:pPr>
      <w:r>
        <w:t xml:space="preserve">A fls. 3066 foi proferida em </w:t>
      </w:r>
      <w:r>
        <w:rPr>
          <w:b/>
        </w:rPr>
        <w:t>embargos de declaração do executado</w:t>
      </w:r>
      <w:r>
        <w:t xml:space="preserve"> que foram </w:t>
      </w:r>
      <w:r>
        <w:rPr>
          <w:b/>
        </w:rPr>
        <w:t>rejeitados</w:t>
      </w:r>
      <w:r>
        <w:t>. Embargos rejeitados não modificam o julgado, e muito menos ampliam seu objeto.</w:t>
      </w:r>
    </w:p>
    <w:p>
      <w:pPr>
        <w:pStyle w:val="ListBullet"/>
        <w:ind w:left="907"/>
      </w:pPr>
      <w:r>
        <w:t xml:space="preserve">A exceção de pré-executividade veiculou </w:t>
      </w:r>
      <w:r>
        <w:rPr>
          <w:b/>
        </w:rPr>
        <w:t>uma única tese</w:t>
      </w:r>
      <w:r>
        <w:t xml:space="preserve">, e quem o afirmou foi </w:t>
      </w:r>
      <w:r>
        <w:rPr>
          <w:b/>
        </w:rPr>
        <w:t>a própria Relatora</w:t>
      </w:r>
      <w:r>
        <w:t xml:space="preserve"> no AI 2236642 ("a única tese ali deduzida foi o excesso de execução decorrente da suposta inclusão de encargos contratuais").</w:t>
      </w:r>
    </w:p>
    <w:p>
      <w:pPr>
        <w:pStyle w:val="ListBullet"/>
        <w:ind w:left="907"/>
      </w:pPr>
      <w:r>
        <w:t xml:space="preserve">Ao desconstituir a base homologada em 1995, o juízo decidiu </w:t>
      </w:r>
      <w:r>
        <w:rPr>
          <w:b/>
        </w:rPr>
        <w:t>questão já decidida</w:t>
      </w:r>
      <w:r>
        <w:t xml:space="preserve"> (art. 505 do CPC) e </w:t>
      </w:r>
      <w:r>
        <w:rPr>
          <w:b/>
        </w:rPr>
        <w:t>de ofício</w:t>
      </w:r>
      <w:r>
        <w:t>, sobre abusividade de encargo bancário (Súmula 381/STJ).</w:t>
      </w:r>
    </w:p>
    <w:p>
      <w:pPr>
        <w:pStyle w:val="ListBullet"/>
        <w:ind w:left="907"/>
      </w:pPr>
      <w:r>
        <w:t xml:space="preserve">Decisão que viola a preclusão </w:t>
      </w:r>
      <w:r>
        <w:rPr>
          <w:i/>
        </w:rPr>
        <w:t>pro judicato</w:t>
      </w:r>
      <w:r>
        <w:t xml:space="preserve"> não integra validamente a cadeia procedimental. O mesmo vale para a decisão que conhece de ofício matéria vedada pela Súmula 381.</w:t>
      </w:r>
    </w:p>
    <w:p>
      <w:pPr>
        <w:pStyle w:val="ListBullet"/>
        <w:ind w:left="907"/>
      </w:pPr>
      <w:r>
        <w:rPr>
          <w:b/>
        </w:rPr>
        <w:t>Esse enquadramento faz a "preclusão de 2025" deixar de ser o ponto de partida.</w:t>
      </w:r>
    </w:p>
    <w:p>
      <w:pPr>
        <w:pStyle w:val="ListNumber"/>
        <w:ind w:left="454"/>
      </w:pPr>
      <w:r>
        <w:rPr>
          <w:b/>
        </w:rPr>
        <w:t>Autonomia do gravame da fls. 3435.</w:t>
      </w:r>
      <w:r>
        <w:t xml:space="preserve"> A fls. 3435:</w:t>
      </w:r>
    </w:p>
    <w:p>
      <w:pPr>
        <w:pStyle w:val="ListBullet"/>
        <w:ind w:left="907"/>
      </w:pPr>
      <w:r>
        <w:t xml:space="preserve">(i) </w:t>
      </w:r>
      <w:r>
        <w:rPr>
          <w:b/>
        </w:rPr>
        <w:t>não conheceu</w:t>
      </w:r>
      <w:r>
        <w:t xml:space="preserve"> de petição nova, ato decisório próprio e recorrível (art. 1.015, parágrafo único, do CPC);</w:t>
      </w:r>
    </w:p>
    <w:p>
      <w:pPr>
        <w:pStyle w:val="ListBullet"/>
        <w:ind w:left="907"/>
      </w:pPr>
      <w:r>
        <w:t>(ii) atribuiu à planilha de fls. 3419 premissa fática nova e falsa: "juros sobre juros" em memória que parte de 05/10/1995 e aplica juros simples;</w:t>
      </w:r>
    </w:p>
    <w:p>
      <w:pPr>
        <w:pStyle w:val="ListBullet"/>
        <w:ind w:left="907"/>
      </w:pPr>
      <w:r>
        <w:t xml:space="preserve">(iii) qualificou pela primeira vez a conduta de fls. 3077 como </w:t>
      </w:r>
      <w:r>
        <w:rPr>
          <w:b/>
        </w:rPr>
        <w:t>"anuência" e "concordância expressa"</w:t>
      </w:r>
      <w:r>
        <w:t>, extraindo daí preclusão "quanto aos critérios".</w:t>
      </w:r>
    </w:p>
    <w:p>
      <w:pPr>
        <w:pStyle w:val="ListBullet"/>
        <w:ind w:left="907"/>
      </w:pPr>
      <w:r>
        <w:t xml:space="preserve">São </w:t>
      </w:r>
      <w:r>
        <w:rPr>
          <w:b/>
        </w:rPr>
        <w:t>fundamentos inéditos</w:t>
      </w:r>
      <w:r>
        <w:t>, o que afasta a tese da decisão meramente confirmatória.</w:t>
      </w:r>
    </w:p>
    <w:p>
      <w:pPr>
        <w:pStyle w:val="ListNumber"/>
        <w:ind w:left="454"/>
      </w:pPr>
      <w:r>
        <w:rPr>
          <w:b/>
        </w:rPr>
        <w:t>O ato de fls. 3077 não foi voluntário: foi devido.</w:t>
      </w:r>
    </w:p>
    <w:p>
      <w:pPr>
        <w:pStyle w:val="ListBullet"/>
        <w:ind w:left="907"/>
      </w:pPr>
      <w:r>
        <w:t>A ordem de fls. 3066 tinha prazo peremptório de 10 dias e era condição de prosseguimento da expropriação, já com leilão marcado.</w:t>
      </w:r>
    </w:p>
    <w:p>
      <w:pPr>
        <w:pStyle w:val="ListBullet"/>
        <w:ind w:left="907"/>
      </w:pPr>
      <w:r>
        <w:t xml:space="preserve">O art. 1.000, parágrafo único, pressupõe ato </w:t>
      </w:r>
      <w:r>
        <w:rPr>
          <w:b/>
        </w:rPr>
        <w:t>espontâneo</w:t>
      </w:r>
      <w:r>
        <w:t xml:space="preserve"> e </w:t>
      </w:r>
      <w:r>
        <w:rPr>
          <w:b/>
        </w:rPr>
        <w:t>incompatível com a vontade de recorrer</w:t>
      </w:r>
      <w:r>
        <w:t>. Cumprir ordem judicial é compatível com a impugnação posterior. O CPC adota o mesmo princípio no art. 520, § 3º: o depósito para se isentar da multa "não será havido como incompatível com o recurso".</w:t>
      </w:r>
    </w:p>
    <w:p>
      <w:pPr>
        <w:pStyle w:val="ListBullet"/>
        <w:ind w:left="907"/>
      </w:pPr>
      <w:r>
        <w:rPr>
          <w:b/>
        </w:rPr>
        <w:t>A minuta não cita o art. 1.000</w:t>
      </w:r>
      <w:r>
        <w:t xml:space="preserve">. Em vez disso, combate uma tese que o juízo não adotou: a de "renúncia ao crédito" (art. 114 do CC). </w:t>
      </w:r>
      <w:r>
        <w:rPr>
          <w:b/>
        </w:rPr>
        <w:t>O juiz falou em preclusão lógica e consumativa dos critérios, não em renúncia.</w:t>
      </w:r>
      <w:r>
        <w:t xml:space="preserve"> A resposta tem de ser dada no plano da preclusão.</w:t>
      </w:r>
    </w:p>
    <w:p>
      <w:pPr>
        <w:pStyle w:val="ListBullet"/>
        <w:ind w:left="907"/>
      </w:pPr>
      <w:r>
        <w:t xml:space="preserve">Registre-se que a petição de fls. 3441 (28/07/2026) já menciona o agravo interposto, o que funciona como </w:t>
      </w:r>
      <w:r>
        <w:rPr>
          <w:b/>
        </w:rPr>
        <w:t>ressalva</w:t>
      </w:r>
      <w:r>
        <w:t xml:space="preserve"> para esse ato de cumprimento. Recomenda-se que todo cumprimento futuro contenha </w:t>
      </w:r>
      <w:r>
        <w:rPr>
          <w:b/>
        </w:rPr>
        <w:t>protesto expresso</w:t>
      </w:r>
      <w:r>
        <w:t>: "cumpre-se por dever processual, sob reserva do AI 2186351-42.2026 e sem aquiescência".</w:t>
      </w:r>
    </w:p>
    <w:p>
      <w:pPr>
        <w:pStyle w:val="Heading3"/>
      </w:pPr>
      <w:r>
        <w:t>1.2. Confusões terminológicas e artigos fora de contexto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Ponto da minuta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Problema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Correção sugerida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"eficácia preclusiva do art. 508 do CPC" aplicada à homologação de 1995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O art. 508 trata da </w:t>
            </w:r>
            <w:r>
              <w:rPr>
                <w:b/>
                <w:sz w:val="19"/>
              </w:rPr>
              <w:t>coisa julgada</w:t>
            </w:r>
            <w:r>
              <w:rPr>
                <w:sz w:val="19"/>
              </w:rPr>
              <w:t xml:space="preserve">, isto é, de decisão de mérito transitada. A homologação de conta em execução de título extrajudicial, em 1995, era </w:t>
            </w:r>
            <w:r>
              <w:rPr>
                <w:b/>
                <w:sz w:val="19"/>
              </w:rPr>
              <w:t>decisão interlocutória</w:t>
            </w:r>
            <w:r>
              <w:rPr>
                <w:sz w:val="19"/>
              </w:rPr>
              <w:t xml:space="preserve"> (após a Lei 8.898/94, o CPC/73 já nem previa "liquidação por cálculo do contador").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Fundamentar em *</w:t>
            </w:r>
            <w:r>
              <w:rPr>
                <w:i/>
                <w:sz w:val="19"/>
              </w:rPr>
              <w:t xml:space="preserve">preclusão </w:t>
            </w:r>
            <w:r>
              <w:rPr>
                <w:sz w:val="19"/>
              </w:rPr>
              <w:t>pro judicato*</w:t>
            </w:r>
            <w:r>
              <w:rPr>
                <w:b/>
                <w:sz w:val="19"/>
              </w:rPr>
              <w:t xml:space="preserve"> e </w:t>
            </w:r>
            <w:r>
              <w:rPr>
                <w:sz w:val="19"/>
              </w:rPr>
              <w:t>preclusão temporal*</w:t>
            </w:r>
            <w:r>
              <w:rPr>
                <w:i/>
                <w:sz w:val="19"/>
              </w:rPr>
              <w:t>: arts. 471 e 473 do CPC/73 (</w:t>
            </w:r>
            <w:r>
              <w:rPr>
                <w:sz w:val="19"/>
              </w:rPr>
              <w:t>tempus regit actum*), correspondentes aos arts. 505 e 507 do CPC/2015.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"reconhecível a qualquer tempo e grau de jurisdição (art. 508 c/c art. 337, § 5º)"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O art. 337, § 5º, trata do conhecimento de ofício das matérias do art. 337, entre as quais </w:t>
            </w:r>
            <w:r>
              <w:rPr>
                <w:b/>
                <w:sz w:val="19"/>
              </w:rPr>
              <w:t>não está a preclusão</w:t>
            </w:r>
            <w:r>
              <w:rPr>
                <w:sz w:val="19"/>
              </w:rPr>
              <w:t>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Suprimir.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"preclusão qualificada", "estabilidade qualificada"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São expressões sem assento legal, que o gabinete tende a ignorar.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"Decisão homologatória irrecorrida, com certidão de decurso de prazo (fls. 152v/204)".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Art. 509, § 4º, do CPC ("fidelidade ao título")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O dispositivo rege a </w:t>
            </w:r>
            <w:r>
              <w:rPr>
                <w:b/>
                <w:sz w:val="19"/>
              </w:rPr>
              <w:t>liquidação de sentença</w:t>
            </w:r>
            <w:r>
              <w:rPr>
                <w:sz w:val="19"/>
              </w:rPr>
              <w:t xml:space="preserve">. Aqui o título é extrajudicial. Os precedentes citados (REsp 1.861.550/DF, REsp 1.256.633/RS, TJSP AI 2123223-58.2020) tratam de </w:t>
            </w:r>
            <w:r>
              <w:rPr>
                <w:b/>
                <w:sz w:val="19"/>
              </w:rPr>
              <w:t>título judicial com coisa julgada</w:t>
            </w:r>
            <w:r>
              <w:rPr>
                <w:sz w:val="19"/>
              </w:rPr>
              <w:t>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Usar como reforço analógico, com a ressalva expressa "</w:t>
            </w:r>
            <w:r>
              <w:rPr>
                <w:i/>
                <w:sz w:val="19"/>
              </w:rPr>
              <w:t>mutatis mutandis</w:t>
            </w:r>
            <w:r>
              <w:rPr>
                <w:sz w:val="19"/>
              </w:rPr>
              <w:t xml:space="preserve">". No título extrajudicial, a fidelidade é ao </w:t>
            </w:r>
            <w:r>
              <w:rPr>
                <w:b/>
                <w:sz w:val="19"/>
              </w:rPr>
              <w:t>título</w:t>
            </w:r>
            <w:r>
              <w:rPr>
                <w:sz w:val="19"/>
              </w:rPr>
              <w:t xml:space="preserve"> (a cédula) e aos </w:t>
            </w:r>
            <w:r>
              <w:rPr>
                <w:b/>
                <w:sz w:val="19"/>
              </w:rPr>
              <w:t>arts. 783, 786 e 798, I, "b", do CPC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Súmula 254/STF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Refere-se a </w:t>
            </w:r>
            <w:r>
              <w:rPr>
                <w:b/>
                <w:sz w:val="19"/>
              </w:rPr>
              <w:t>sentença omissa</w:t>
            </w:r>
            <w:r>
              <w:rPr>
                <w:sz w:val="19"/>
              </w:rPr>
              <w:t xml:space="preserve"> quanto a juros. Em título extrajudicial, a mora é </w:t>
            </w:r>
            <w:r>
              <w:rPr>
                <w:i/>
                <w:sz w:val="19"/>
              </w:rPr>
              <w:t>ex re</w:t>
            </w:r>
            <w:r>
              <w:rPr>
                <w:sz w:val="19"/>
              </w:rPr>
              <w:t xml:space="preserve"> e os juros decorrem do título e da lei (art. 397 do CC; art. 5º do DL 413/69).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Citar o art. 397 do CC e o art. 5º do DL 413/69. A Súmula 254 é acessória.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REsp 1.984.424/SP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Trata de </w:t>
            </w:r>
            <w:r>
              <w:rPr>
                <w:b/>
                <w:sz w:val="19"/>
              </w:rPr>
              <w:t>Cédula de Crédito Bancário</w:t>
            </w:r>
            <w:r>
              <w:rPr>
                <w:sz w:val="19"/>
              </w:rPr>
              <w:t xml:space="preserve"> (Lei 10.931/04), não de cédula industrial.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Citar como "</w:t>
            </w:r>
            <w:r>
              <w:rPr>
                <w:i/>
                <w:sz w:val="19"/>
              </w:rPr>
              <w:t>ratio</w:t>
            </w:r>
            <w:r>
              <w:rPr>
                <w:sz w:val="19"/>
              </w:rPr>
              <w:t xml:space="preserve"> aplicável", com a distinção explícita.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AREsp 2.569.822/DF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É </w:t>
            </w:r>
            <w:r>
              <w:rPr>
                <w:b/>
                <w:sz w:val="19"/>
              </w:rPr>
              <w:t>decisão monocrática</w:t>
            </w:r>
            <w:r>
              <w:rPr>
                <w:sz w:val="19"/>
              </w:rPr>
              <w:t xml:space="preserve"> de </w:t>
            </w:r>
            <w:r>
              <w:rPr>
                <w:b/>
                <w:sz w:val="19"/>
              </w:rPr>
              <w:t>não conhecimento</w:t>
            </w:r>
            <w:r>
              <w:rPr>
                <w:sz w:val="19"/>
              </w:rPr>
              <w:t xml:space="preserve"> (Súmulas 5 e 7/STJ). A frase sobre renúncia é do </w:t>
            </w:r>
            <w:r>
              <w:rPr>
                <w:b/>
                <w:sz w:val="19"/>
              </w:rPr>
              <w:t>TJDFT</w:t>
            </w:r>
            <w:r>
              <w:rPr>
                <w:sz w:val="19"/>
              </w:rPr>
              <w:t>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Citar corretamente ou suprimir.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REsp 1.256.633/RS e AREsp 43.936/RJ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São </w:t>
            </w:r>
            <w:r>
              <w:rPr>
                <w:b/>
                <w:sz w:val="19"/>
              </w:rPr>
              <w:t>decisões monocráticas</w:t>
            </w:r>
            <w:r>
              <w:rPr>
                <w:sz w:val="19"/>
              </w:rPr>
              <w:t>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Indicar "decisão monocrática".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"preparo […] gerado pelo sistema eproc"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A 2ª instância do TJSP opera o </w:t>
            </w:r>
            <w:r>
              <w:rPr>
                <w:b/>
                <w:sz w:val="19"/>
              </w:rPr>
              <w:t>e-SAJ</w:t>
            </w:r>
            <w:r>
              <w:rPr>
                <w:sz w:val="19"/>
              </w:rPr>
              <w:t xml:space="preserve">. O agravo foi protocolado sem preparo, e houve </w:t>
            </w:r>
            <w:r>
              <w:rPr>
                <w:b/>
                <w:sz w:val="19"/>
              </w:rPr>
              <w:t>ordem de recolhimento em dobro</w:t>
            </w:r>
            <w:r>
              <w:rPr>
                <w:sz w:val="19"/>
              </w:rPr>
              <w:t xml:space="preserve"> (art. 1.007, § 4º).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Conferir</w:t>
            </w:r>
            <w:r>
              <w:rPr>
                <w:sz w:val="19"/>
              </w:rPr>
              <w:t xml:space="preserve"> se o pagamento em dobro foi certificado (há duas guias juntadas em 28/07/2026, mas não há certidão de regularidade). Deserção é matéria de ofício.</w:t>
            </w:r>
          </w:p>
        </w:tc>
      </w:tr>
    </w:tbl>
    <w:p/>
    <w:p>
      <w:pPr>
        <w:pStyle w:val="Heading3"/>
      </w:pPr>
      <w:r>
        <w:t>1.3. Fragilidades argumentativas e de coerência</w:t>
      </w:r>
    </w:p>
    <w:p>
      <w:pPr>
        <w:pStyle w:val="ListNumber"/>
        <w:ind w:left="454"/>
      </w:pPr>
      <w:r>
        <w:rPr>
          <w:b/>
        </w:rPr>
        <w:t>Pedido de homologar diretamente R$ 185.096.002,92 no próprio agravo.</w:t>
      </w:r>
      <w:r>
        <w:t xml:space="preserve"> A Relatora, no AI 2236642, recusou-se a examinar matéria "originariamente no âmbito do presente recurso, sob pena de indevida supressão de um grau de jurisdição". </w:t>
      </w:r>
      <w:r>
        <w:rPr>
          <w:b/>
        </w:rPr>
        <w:t>É praticamente certo que não homologará valor em sede de agravo.</w:t>
      </w:r>
      <w:r>
        <w:t xml:space="preserve"> O pedido deve ser </w:t>
      </w:r>
      <w:r>
        <w:rPr>
          <w:b/>
        </w:rPr>
        <w:t>reformar o critério</w:t>
      </w:r>
      <w:r>
        <w:t xml:space="preserve"> (a base) e </w:t>
      </w:r>
      <w:r>
        <w:rPr>
          <w:b/>
        </w:rPr>
        <w:t>devolver à origem</w:t>
      </w:r>
      <w:r>
        <w:t xml:space="preserve"> para liquidação, o que hoje figura na minuta apenas como alternativa.</w:t>
      </w:r>
    </w:p>
    <w:p>
      <w:pPr>
        <w:pStyle w:val="ListNumber"/>
        <w:ind w:left="454"/>
      </w:pPr>
      <w:r>
        <w:rPr>
          <w:b/>
        </w:rPr>
        <w:t>O pedido "f" (sobrestar os atos expropriatórios) contradiz a petição de fls. 3441</w:t>
      </w:r>
      <w:r>
        <w:t xml:space="preserve"> (pedido de "imediata designação de praceamento"). Recomenda-se, no memorial, </w:t>
      </w:r>
      <w:r>
        <w:rPr>
          <w:b/>
        </w:rPr>
        <w:t>desistir expressamente</w:t>
      </w:r>
      <w:r>
        <w:t xml:space="preserve"> desse pedido ou reformulá-lo: prosseguimento da expropriação, com depósito do produto até a definição do </w:t>
      </w:r>
      <w:r>
        <w:rPr>
          <w:i/>
        </w:rPr>
        <w:t>quantum</w:t>
      </w:r>
      <w:r>
        <w:t>.</w:t>
      </w:r>
    </w:p>
    <w:p>
      <w:pPr>
        <w:pStyle w:val="ListNumber"/>
        <w:ind w:left="454"/>
      </w:pPr>
      <w:r>
        <w:rPr>
          <w:b/>
        </w:rPr>
        <w:t>A petição de fls. 3407/3409 invoca "erro material" (art. 494, I).</w:t>
      </w:r>
      <w:r>
        <w:t xml:space="preserve"> Critério de cálculo não é erro material. Ver o STJ no AgInt no REsp 2.127.021/DF, 3ª Turma, Rel. Min. Humberto Martins, j. 19/08/2024, </w:t>
      </w:r>
      <w:r>
        <w:rPr>
          <w:b/>
        </w:rPr>
        <w:t>VERIFICADO</w:t>
      </w:r>
      <w:r>
        <w:t xml:space="preserve">: </w:t>
      </w:r>
      <w:r>
        <w:rPr>
          <w:i/>
        </w:rPr>
        <w:t>"O erro material […] é aquele evidente, derivado de simples cálculo aritmético ou inexatidão material e não aquele decorrente de elementos ou critérios de cálculo."</w:t>
      </w:r>
      <w:r>
        <w:t xml:space="preserve"> O juízo </w:t>
      </w:r>
      <w:r>
        <w:rPr>
          <w:i/>
        </w:rPr>
        <w:t>a quo</w:t>
      </w:r>
      <w:r>
        <w:t xml:space="preserve"> usou isso para caracterizar "inovação". </w:t>
      </w:r>
      <w:r>
        <w:rPr>
          <w:b/>
        </w:rPr>
        <w:t>O memorial deve abandonar a tese do erro material</w:t>
      </w:r>
      <w:r>
        <w:t xml:space="preserve"> e sustentar a </w:t>
      </w:r>
      <w:r>
        <w:rPr>
          <w:b/>
        </w:rPr>
        <w:t>violação da preclusão</w:t>
      </w:r>
      <w:r>
        <w:t xml:space="preserve"> pela fls. 3066.</w:t>
      </w:r>
    </w:p>
    <w:p>
      <w:pPr>
        <w:pStyle w:val="ListNumber"/>
        <w:ind w:left="454"/>
      </w:pPr>
      <w:r>
        <w:rPr>
          <w:b/>
        </w:rPr>
        <w:t>Autocontradição do parecer de fls. 3410/3418.</w:t>
      </w:r>
      <w:r>
        <w:t xml:space="preserve"> O parecer afirma que o cálculo "não adota a metodologia rechaçada […] de partir de montante global já atualizado e já acrescido de juros". Mas parte, sim, de montante que contém juros (o próprio juiz registrou isso à fls. 3436, e a minuta o admite). A defesa correta não é negar que o saldo contenha juros. É </w:t>
      </w:r>
      <w:r>
        <w:rPr>
          <w:b/>
        </w:rPr>
        <w:t>sustentar que juros licitamente capitalizados são capital</w:t>
      </w:r>
      <w:r>
        <w:t xml:space="preserve"> (Seção 2).</w:t>
      </w:r>
    </w:p>
    <w:p>
      <w:pPr>
        <w:pStyle w:val="ListNumber"/>
        <w:ind w:left="454"/>
      </w:pPr>
      <w:r>
        <w:rPr>
          <w:b/>
        </w:rPr>
        <w:t>Honorários de 20%.</w:t>
      </w:r>
      <w:r>
        <w:t xml:space="preserve"> A minuta afirma que a decisão de fls. 52 "expressamente arbitrou os honorários advocatícios em 20%" e trata a base como "o débito".</w:t>
      </w:r>
    </w:p>
    <w:p>
      <w:pPr>
        <w:pStyle w:val="ListBullet"/>
        <w:ind w:left="907"/>
      </w:pPr>
      <w:r>
        <w:t xml:space="preserve">A transcrição de fls. 52 [TRANSCR.] diz: </w:t>
      </w:r>
      <w:r>
        <w:rPr>
          <w:i/>
        </w:rPr>
        <w:t xml:space="preserve">"fixo os honorários advocatícios em 20% sobre o </w:t>
      </w:r>
      <w:r>
        <w:rPr>
          <w:i/>
        </w:rPr>
        <w:t>valor dado à causa</w:t>
      </w:r>
      <w:r>
        <w:rPr>
          <w:i/>
        </w:rPr>
        <w:t>"</w:t>
      </w:r>
      <w:r>
        <w:t>.</w:t>
      </w:r>
    </w:p>
    <w:p>
      <w:pPr>
        <w:pStyle w:val="ListBullet"/>
        <w:ind w:left="907"/>
      </w:pPr>
      <w:r>
        <w:t>A inicial pediu 10% sobre o débito, por cláusula contratual.</w:t>
      </w:r>
    </w:p>
    <w:p>
      <w:pPr>
        <w:pStyle w:val="ListBullet"/>
        <w:ind w:left="907"/>
      </w:pPr>
      <w:r>
        <w:t>O executado afirma que o mandado de fls. 54 consigna 10%, e fls. 54 não foi localizada.</w:t>
      </w:r>
    </w:p>
    <w:p>
      <w:pPr>
        <w:pStyle w:val="ListBullet"/>
        <w:ind w:left="907"/>
      </w:pPr>
      <w:r>
        <w:rPr>
          <w:b/>
        </w:rPr>
        <w:t>Risco de imputação de alteração da verdade dos fatos (art. 80, II, do CPC).</w:t>
      </w:r>
      <w:r>
        <w:t xml:space="preserve"> A defesa dos 20% deve apoiar-se na </w:t>
      </w:r>
      <w:r>
        <w:rPr>
          <w:b/>
        </w:rPr>
        <w:t>conta homologada de 1995</w:t>
      </w:r>
      <w:r>
        <w:t xml:space="preserve"> e na preclusão registrada às fls. 3038/3044, 3066 e no AI 2236642 (ver Seção 3.3), e não na leitura de fls. 52.</w:t>
      </w:r>
    </w:p>
    <w:p>
      <w:pPr>
        <w:pStyle w:val="ListNumber"/>
        <w:ind w:left="454"/>
      </w:pPr>
      <w:r>
        <w:rPr>
          <w:b/>
        </w:rPr>
        <w:t>Fatos declarados pela própria parte que se voltam contra ela.</w:t>
      </w:r>
      <w:r>
        <w:t xml:space="preserve"> As fls. 3038/3044 registram que "os exequentes insistem que cobram apenas […] atualização pela Tabela do TJSP e juros legais de 1% ao mês". O juízo e o executado podem usar isso como </w:t>
      </w:r>
      <w:r>
        <w:rPr>
          <w:i/>
        </w:rPr>
        <w:t>venire contra factum proprium</w:t>
      </w:r>
      <w:r>
        <w:t xml:space="preserve">. </w:t>
      </w:r>
      <w:r>
        <w:rPr>
          <w:b/>
        </w:rPr>
        <w:t>Resposta:</w:t>
      </w:r>
      <w:r>
        <w:t xml:space="preserve"> essa afirmação sempre se referiu ao período </w:t>
      </w:r>
      <w:r>
        <w:rPr>
          <w:b/>
        </w:rPr>
        <w:t>posterior</w:t>
      </w:r>
      <w:r>
        <w:t xml:space="preserve"> à consolidação de 1995, o que é exatamente o que a fls. 3419 faz. Convém demonstrá-lo com a peça de resposta à exceção, a ser localizada.</w:t>
      </w:r>
    </w:p>
    <w:p>
      <w:pPr>
        <w:pStyle w:val="Heading3"/>
      </w:pPr>
      <w:r>
        <w:t>1.4. Conclusão da Seção 1</w:t>
      </w:r>
    </w:p>
    <w:p>
      <w:pPr>
        <w:jc w:val="both"/>
      </w:pPr>
      <w:r>
        <w:t xml:space="preserve">A justificativa para afastar a preclusão lógica de fls. 3077/3078 </w:t>
      </w:r>
      <w:r>
        <w:rPr>
          <w:b/>
        </w:rPr>
        <w:t>não está blindada</w:t>
      </w:r>
      <w:r>
        <w:t>. Há brecha real para a Relatora manter a decisão, com três fundamentos possíveis:</w:t>
      </w:r>
    </w:p>
    <w:p>
      <w:pPr>
        <w:pStyle w:val="ListBullet"/>
        <w:ind w:left="454"/>
      </w:pPr>
      <w:r>
        <w:t>(i) a fls. 3066 não foi recorrida;</w:t>
      </w:r>
    </w:p>
    <w:p>
      <w:pPr>
        <w:pStyle w:val="ListBullet"/>
        <w:ind w:left="454"/>
      </w:pPr>
      <w:r>
        <w:t>(ii) a fls. 3077 foi praticada sem reserva;</w:t>
      </w:r>
    </w:p>
    <w:p>
      <w:pPr>
        <w:pStyle w:val="ListBullet"/>
        <w:ind w:left="454"/>
      </w:pPr>
      <w:r>
        <w:t>(iii) a fls. 3435 é meramente reiterativa.</w:t>
      </w:r>
    </w:p>
    <w:p>
      <w:pPr>
        <w:jc w:val="both"/>
      </w:pPr>
      <w:r>
        <w:t xml:space="preserve">A blindagem exige </w:t>
      </w:r>
      <w:r>
        <w:rPr>
          <w:b/>
        </w:rPr>
        <w:t>deslocar o centro da tese</w:t>
      </w:r>
      <w:r>
        <w:t>: não se trata de "coisa julgada eterna de 1995", mas de "</w:t>
      </w:r>
      <w:r>
        <w:rPr>
          <w:b/>
        </w:rPr>
        <w:t>decisão de 2025 proferida em embargos rejeitados, fora dos limites da exceção e em violação ao art. 505 do CPC e à Súmula 381/STJ</w:t>
      </w:r>
      <w:r>
        <w:t>", somada à autonomia do gravame da fls. 3435.</w:t>
      </w:r>
    </w:p>
    <w:p>
      <w:pPr>
        <w:pStyle w:val="Heading2"/>
      </w:pPr>
      <w:r>
        <w:t>SEÇÃO 2 — DESMONTAGEM DA TESE DE ANATOCISMO E DEFESA DA HOMOLOGAÇÃO DE 1995</w:t>
      </w:r>
    </w:p>
    <w:p>
      <w:pPr>
        <w:pStyle w:val="Heading3"/>
      </w:pPr>
      <w:r>
        <w:t>2.1. O conceito jurídico de anatocismo</w:t>
      </w:r>
    </w:p>
    <w:p>
      <w:pPr>
        <w:jc w:val="both"/>
      </w:pPr>
      <w:r>
        <w:t xml:space="preserve">O art. 4º do Decreto 22.626/33 proíbe "contar juros dos juros". A Súmula 121/STF veda a capitalização "ainda que expressamente convencionada". Anatocismo, portanto, é a </w:t>
      </w:r>
      <w:r>
        <w:rPr>
          <w:b/>
        </w:rPr>
        <w:t>incorporação não autorizada</w:t>
      </w:r>
      <w:r>
        <w:t xml:space="preserve"> dos juros vencidos ao capital, para que também passem a render juros.</w:t>
      </w:r>
    </w:p>
    <w:p>
      <w:pPr>
        <w:jc w:val="both"/>
      </w:pPr>
      <w:r>
        <w:t xml:space="preserve">Quando a lei </w:t>
      </w:r>
      <w:r>
        <w:rPr>
          <w:b/>
        </w:rPr>
        <w:t>autoriza</w:t>
      </w:r>
      <w:r>
        <w:t xml:space="preserve"> a capitalização, o juro vencido e capitalizado </w:t>
      </w:r>
      <w:r>
        <w:rPr>
          <w:b/>
        </w:rPr>
        <w:t>deixa de ser juro e converte-se em capital</w:t>
      </w:r>
      <w:r>
        <w:t xml:space="preserve"> na data de cada capitalização. É isso, por definição, que significa "capitalizar". É o caso das cédulas de crédito rural, comercial e industrial:</w:t>
      </w:r>
    </w:p>
    <w:p>
      <w:pPr>
        <w:pStyle w:val="ListBullet"/>
        <w:ind w:left="454"/>
      </w:pPr>
      <w:r>
        <w:rPr>
          <w:b/>
        </w:rPr>
        <w:t>DL 413/69, art. 5º</w:t>
      </w:r>
      <w:r>
        <w:t>: juros "exigíveis em 30 de junho, 31 de dezembro, no vencimento, na liquidação da cédula ou, também, em outras datas convencionadas";</w:t>
      </w:r>
    </w:p>
    <w:p>
      <w:pPr>
        <w:pStyle w:val="ListBullet"/>
        <w:ind w:left="454"/>
      </w:pPr>
      <w:r>
        <w:rPr>
          <w:b/>
        </w:rPr>
        <w:t>Súmula 93/STJ</w:t>
      </w:r>
      <w:r>
        <w:t>: "A legislação sobre cédulas de crédito rural, comercial e industrial admite o pacto de capitalização de juros";</w:t>
      </w:r>
    </w:p>
    <w:p>
      <w:pPr>
        <w:pStyle w:val="ListBullet"/>
        <w:ind w:left="454"/>
      </w:pPr>
      <w:r>
        <w:rPr>
          <w:b/>
        </w:rPr>
        <w:t>STJ, REsp 31.025/RS</w:t>
      </w:r>
      <w:r>
        <w:t xml:space="preserve">, 4ª Turma, Rel. Min. Sálvio de Figueiredo Teixeira, j. 17/02/1993, </w:t>
      </w:r>
      <w:r>
        <w:rPr>
          <w:b/>
        </w:rPr>
        <w:t>VERIFICADO</w:t>
      </w:r>
      <w:r>
        <w:t>: "Lícito se mostra pactuar, em cédula de crédito industrial, capitalização mensal de juros, conforme autoriza o Decreto-Lei nº 413/69";</w:t>
      </w:r>
    </w:p>
    <w:p>
      <w:pPr>
        <w:pStyle w:val="ListBullet"/>
        <w:ind w:left="454"/>
      </w:pPr>
      <w:r>
        <w:rPr>
          <w:b/>
        </w:rPr>
        <w:t>Súmula 596/STF</w:t>
      </w:r>
      <w:r>
        <w:t>: afasta o Decreto 22.626/33 das operações do Sistema Financeiro Nacional. O crédito permaneceu bancário até a cessão de 31/03/2010 (fls. 539/543).</w:t>
      </w:r>
    </w:p>
    <w:p>
      <w:pPr>
        <w:jc w:val="both"/>
      </w:pPr>
      <w:r>
        <w:rPr>
          <w:b/>
        </w:rPr>
        <w:t>Consequência técnica.</w:t>
      </w:r>
      <w:r>
        <w:t xml:space="preserve"> Em 05/10/1995, o saldo de R$ 5.256.733,85 é, juridicamente, </w:t>
      </w:r>
      <w:r>
        <w:rPr>
          <w:b/>
        </w:rPr>
        <w:t>capital consolidado</w:t>
      </w:r>
      <w:r>
        <w:t>, e não "capital + juros pendentes". Sobre esse capital, a fls. 3419 aplica:</w:t>
      </w:r>
    </w:p>
    <w:p>
      <w:pPr>
        <w:jc w:val="center"/>
      </w:pPr>
      <w:r>
        <w:rPr>
          <w:i/>
        </w:rPr>
        <w:t>J = C95 × FC × Σ ik · tk</w:t>
      </w:r>
    </w:p>
    <w:p>
      <w:pPr>
        <w:pStyle w:val="ListBullet"/>
        <w:ind w:left="454"/>
      </w:pPr>
      <w:r>
        <w:rPr>
          <w:i/>
        </w:rPr>
        <w:t>C95</w:t>
      </w:r>
      <w:r>
        <w:t xml:space="preserve"> = saldo homologado;</w:t>
      </w:r>
    </w:p>
    <w:p>
      <w:pPr>
        <w:pStyle w:val="ListBullet"/>
        <w:ind w:left="454"/>
      </w:pPr>
      <w:r>
        <w:rPr>
          <w:i/>
        </w:rPr>
        <w:t>FC</w:t>
      </w:r>
      <w:r>
        <w:t xml:space="preserve"> = fator da Tabela Prática (6,409736469 de out/1995 a mar/2026, </w:t>
      </w:r>
      <w:r>
        <w:rPr>
          <w:b/>
        </w:rPr>
        <w:t>conferido</w:t>
      </w:r>
      <w:r>
        <w:t>);</w:t>
      </w:r>
    </w:p>
    <w:p>
      <w:pPr>
        <w:pStyle w:val="ListBullet"/>
        <w:ind w:left="454"/>
      </w:pPr>
      <w:r>
        <w:rPr>
          <w:i/>
        </w:rPr>
        <w:t>ik</w:t>
      </w:r>
      <w:r>
        <w:t xml:space="preserve"> = taxa legal de cada período (0,5% a.m. até 10/01/2003; 1% a.m. até 08/2024; taxa legal da Lei 14.905/2024 depois);</w:t>
      </w:r>
    </w:p>
    <w:p>
      <w:pPr>
        <w:pStyle w:val="ListBullet"/>
        <w:ind w:left="454"/>
      </w:pPr>
      <w:r>
        <w:rPr>
          <w:i/>
        </w:rPr>
        <w:t>tk</w:t>
      </w:r>
      <w:r>
        <w:t xml:space="preserve"> = tempo de cada período.</w:t>
      </w:r>
    </w:p>
    <w:p>
      <w:pPr>
        <w:jc w:val="both"/>
      </w:pPr>
      <w:r>
        <w:t xml:space="preserve">O somatório é </w:t>
      </w:r>
      <w:r>
        <w:rPr>
          <w:b/>
        </w:rPr>
        <w:t>linear</w:t>
      </w:r>
      <w:r>
        <w:t xml:space="preserve">. Nenhum juro gerado após 1995 é incorporado à base. Há </w:t>
      </w:r>
      <w:r>
        <w:rPr>
          <w:b/>
        </w:rPr>
        <w:t>uma única camada</w:t>
      </w:r>
      <w:r>
        <w:t xml:space="preserve"> de juros simples sobre capital, e isso não é anatocismo. A correção monetária, por sua vez, não é acréscimo: é recomposição do valor da moeda.</w:t>
      </w:r>
    </w:p>
    <w:p>
      <w:pPr>
        <w:jc w:val="both"/>
      </w:pPr>
      <w:r>
        <w:rPr>
          <w:b/>
        </w:rPr>
        <w:t>Conferência aritmética da fls. 3419: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Período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Taxa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Juros acumulados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05/10/1995 a 10/01/2003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0,5% a.m.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≈ 43,6%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11/01/2003 a 29/08/2024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1% a.m.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≈ 259,6%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30/08/2024 a 25/03/2026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taxa legal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≈ 12,9% (implícito)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≈ 316,17%</w:t>
            </w:r>
          </w:p>
        </w:tc>
      </w:tr>
    </w:tbl>
    <w:p/>
    <w:p>
      <w:pPr>
        <w:jc w:val="both"/>
      </w:pPr>
      <w:r>
        <w:t xml:space="preserve">Os números </w:t>
      </w:r>
      <w:r>
        <w:rPr>
          <w:b/>
        </w:rPr>
        <w:t>fecham</w:t>
      </w:r>
      <w:r>
        <w:t>. Uma única ressalva: há risco de o juízo exigir SELIC no período de 2003 a 2024 (ver 2.4).</w:t>
      </w:r>
    </w:p>
    <w:p>
      <w:pPr>
        <w:jc w:val="both"/>
      </w:pPr>
      <w:r>
        <w:rPr>
          <w:b/>
        </w:rPr>
        <w:t>Analogia de reforço (com cautela).</w:t>
      </w:r>
      <w:r>
        <w:t xml:space="preserve"> A Súmula 102/STJ dispõe que "A incidência dos juros moratórios sobre os compensatórios, nas ações expropriatórias, não constitui anatocismo vedado em lei". A </w:t>
      </w:r>
      <w:r>
        <w:rPr>
          <w:i/>
        </w:rPr>
        <w:t>ratio</w:t>
      </w:r>
      <w:r>
        <w:t xml:space="preserve"> é a mesma: juros de mora posteriores que incidem sobre valor em que os juros anteriores já se consolidaram não configuram anatocismo. O verbete é restrito à desapropriação, e isso deve ser dito.</w:t>
      </w:r>
    </w:p>
    <w:p>
      <w:pPr>
        <w:pStyle w:val="Heading3"/>
      </w:pPr>
      <w:r>
        <w:t>2.2. O ponto fraco: o que precisa ser enfrentado, e não escondido</w:t>
      </w:r>
    </w:p>
    <w:p>
      <w:pPr>
        <w:jc w:val="both"/>
      </w:pPr>
      <w:r>
        <w:t xml:space="preserve">A conta de 1995 [DOC] tem colunas "C.M. / TX. ENCARG. / </w:t>
      </w:r>
      <w:r>
        <w:rPr>
          <w:b/>
        </w:rPr>
        <w:t>JUROS MORA</w:t>
      </w:r>
      <w:r>
        <w:t xml:space="preserve"> / SALDO". Ela capitaliza mês a mês </w:t>
      </w:r>
      <w:r>
        <w:rPr>
          <w:b/>
        </w:rPr>
        <w:t>inclusive os juros de mora de 1% a.m.</w:t>
      </w:r>
      <w:r>
        <w:t xml:space="preserve"> Dois problemas decorrem disso:</w:t>
      </w:r>
    </w:p>
    <w:p>
      <w:pPr>
        <w:pStyle w:val="ListBullet"/>
        <w:ind w:left="454"/>
      </w:pPr>
      <w:r>
        <w:rPr>
          <w:b/>
        </w:rPr>
        <w:t>(a)</w:t>
      </w:r>
      <w:r>
        <w:t xml:space="preserve"> O DL 413/69 autoriza a capitalização dos </w:t>
      </w:r>
      <w:r>
        <w:rPr>
          <w:b/>
        </w:rPr>
        <w:t>juros remuneratórios</w:t>
      </w:r>
      <w:r>
        <w:t xml:space="preserve"> pactuados. Para a mora, o art. 5º, parágrafo único, prevê apenas a </w:t>
      </w:r>
      <w:r>
        <w:rPr>
          <w:b/>
        </w:rPr>
        <w:t>elevação de 1% ao ano</w:t>
      </w:r>
      <w:r>
        <w:t xml:space="preserve"> da taxa. O STJ é firme em que, nas cédulas, a inadimplência admite só juros remuneratórios, mora de 1% a.a. e multa, vedada a comissão de permanência: AgRg no AREsp 488.782/RS, 4ª Turma, Rel. Min. Isabel Gallotti, DJe 05/05/2015; AgRg no REsp 1.556.250/PB, 3ª Turma, Rel. Min. Moura Ribeiro, DJe 15/02/2016. Ambos </w:t>
      </w:r>
      <w:r>
        <w:rPr>
          <w:b/>
        </w:rPr>
        <w:t>VERIFICADOS (secundária)</w:t>
      </w:r>
      <w:r>
        <w:t>.</w:t>
      </w:r>
    </w:p>
    <w:p>
      <w:pPr>
        <w:pStyle w:val="ListBullet"/>
        <w:ind w:left="454"/>
      </w:pPr>
      <w:r>
        <w:rPr>
          <w:b/>
        </w:rPr>
        <w:t>(b)</w:t>
      </w:r>
      <w:r>
        <w:t xml:space="preserve"> A taxa de encargos aparece como "57,18% a.m." numa folha e "57,18% a.a." em outra. A recomposição aritmética mostra que foi aplicado 57,18% a.a. nominal (≈ 4,76% a.m.): a divergência é de grafia, não de cálculo.</w:t>
      </w:r>
    </w:p>
    <w:p>
      <w:pPr>
        <w:jc w:val="both"/>
      </w:pPr>
      <w:r>
        <w:rPr>
          <w:b/>
        </w:rPr>
        <w:t>Como enfrentar:</w:t>
      </w:r>
    </w:p>
    <w:p>
      <w:pPr>
        <w:pStyle w:val="ListNumber"/>
        <w:ind w:left="454"/>
      </w:pPr>
      <w:r>
        <w:rPr>
          <w:b/>
        </w:rPr>
        <w:t>Isso é matéria de critério, não de aritmética.</w:t>
      </w:r>
      <w:r>
        <w:t xml:space="preserve"> Portanto, está </w:t>
      </w:r>
      <w:r>
        <w:rPr>
          <w:b/>
        </w:rPr>
        <w:t>preclusa desde 29/12/1995</w:t>
      </w:r>
      <w:r>
        <w:t>, com certidão de decurso de prazo "sem manifestação das partes". Não pode ser revista de ofício (</w:t>
      </w:r>
      <w:r>
        <w:rPr>
          <w:b/>
        </w:rPr>
        <w:t>Súmula 381/STJ</w:t>
      </w:r>
      <w:r>
        <w:t>). Não é erro material (</w:t>
      </w:r>
      <w:r>
        <w:rPr>
          <w:b/>
        </w:rPr>
        <w:t>AgInt no REsp 2.127.021/DF; AgInt no REsp 1.830.905/SC</w:t>
      </w:r>
      <w:r>
        <w:t xml:space="preserve">, 1ª Turma, Rel. Min. Benedito Gonçalves, </w:t>
      </w:r>
      <w:r>
        <w:rPr>
          <w:b/>
        </w:rPr>
        <w:t>VERIFICADO</w:t>
      </w:r>
      <w:r>
        <w:t>: "os erros sobre os critérios do cálculo, inclusive, no que concerne juros moratórios e correção monetária sujeitam-se à preclusão").</w:t>
      </w:r>
    </w:p>
    <w:p>
      <w:pPr>
        <w:pStyle w:val="ListNumber"/>
        <w:ind w:left="454"/>
      </w:pPr>
      <w:r>
        <w:rPr>
          <w:b/>
        </w:rPr>
        <w:t>A conta resultou de contraditório e de ordem judicial.</w:t>
      </w:r>
      <w:r>
        <w:t xml:space="preserve"> Houve impugnação (fls. 129/130), a decisão de fls. 131 remeteu os autos ao contador, e a retificação de fls. 133 [TRANSCR.] foi seguida de homologação (fls. 152) publicada no DOJ de 06/12/1995. </w:t>
      </w:r>
      <w:r>
        <w:rPr>
          <w:b/>
        </w:rPr>
        <w:t>Alguém impugnou</w:t>
      </w:r>
      <w:r>
        <w:t xml:space="preserve">, e a conta foi retificada </w:t>
      </w:r>
      <w:r>
        <w:rPr>
          <w:b/>
        </w:rPr>
        <w:t>pelo próprio juízo</w:t>
      </w:r>
      <w:r>
        <w:t>.</w:t>
      </w:r>
    </w:p>
    <w:p>
      <w:pPr>
        <w:pStyle w:val="ListNumber"/>
        <w:ind w:left="454"/>
      </w:pPr>
      <w:r>
        <w:rPr>
          <w:b/>
        </w:rPr>
        <w:t>Fé pública da Contadoria:</w:t>
      </w:r>
      <w:r>
        <w:t xml:space="preserve"> STJ, REsp 256.832/CE, 5ª Turma, Rel. Min. Edson Vidigal, DJ 11/09/2000, </w:t>
      </w:r>
      <w:r>
        <w:rPr>
          <w:b/>
        </w:rPr>
        <w:t>VERIFICADO</w:t>
      </w:r>
      <w:r>
        <w:t>: "os cálculos por ela operados devem prevalecer, até prova em contrário".</w:t>
      </w:r>
    </w:p>
    <w:p>
      <w:pPr>
        <w:pStyle w:val="ListNumber"/>
        <w:ind w:left="454"/>
      </w:pPr>
      <w:r>
        <w:rPr>
          <w:b/>
        </w:rPr>
        <w:t>Divergência "a.m./a.a.": neutralizada.</w:t>
      </w:r>
      <w:r>
        <w:t xml:space="preserve"> Recompondo as linhas de 06/1987 a 01/1988 (saldo anterior × (1 + C.M.) × (1 + 57,18%/12) × 1,01), obtêm-se os saldos da conta com resíduo constante de −0,005% (arredondamento da taxa mensal em ≈ 4,76%). A taxa usada foi, portanto, </w:t>
      </w:r>
      <w:r>
        <w:rPr>
          <w:b/>
        </w:rPr>
        <w:t>57,18% a.a.</w:t>
      </w:r>
      <w:r>
        <w:t xml:space="preserve">, e a grafia "a.m." de fls. 134 é mero erro de digitação sem reflexo no resultado. </w:t>
      </w:r>
      <w:r>
        <w:rPr>
          <w:b/>
        </w:rPr>
        <w:t>Não há erro material a corrigir.</w:t>
      </w:r>
      <w:r>
        <w:t xml:space="preserve"> Convém levar essa demonstração ao memorial ou a uma petição de esclarecimento, antes que o executado a explore. Falta estender a conferência às conversões de moeda de 1989, 1990, 1993 e 1994 (Seção 5-C).</w:t>
      </w:r>
    </w:p>
    <w:p>
      <w:pPr>
        <w:pStyle w:val="Heading3"/>
      </w:pPr>
      <w:r>
        <w:t>2.3. A virada metodológica de 1995 e a fidelidade ao título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Fase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Regime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Fundamento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06/05/1987 a 05/10/1995 (crédito bancário)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Encargos da cédula, com capitalização autorizada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DL 413/69, art. 5º; Súmula 93/STJ; Súmula 596/STF; REsp 31.025/RS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05/10/1995: consolidação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Conta da Contadoria, impugnada, retificada, homologada e irrecorrida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Arts. 471 e 473 do CPC/73; certidão de fls. 152v/204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Após 05/10/1995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Por opção dos credores, mais benéfica ao devedor</w:t>
            </w:r>
            <w:r>
              <w:rPr>
                <w:sz w:val="19"/>
              </w:rPr>
              <w:t>: só correção (Tabela TJSP) e juros legais simples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Art. 1.062 do CC/1916; art. 406 do CC/2002; Lei 14.905/2024</w:t>
            </w:r>
          </w:p>
        </w:tc>
      </w:tr>
    </w:tbl>
    <w:p/>
    <w:p>
      <w:pPr>
        <w:jc w:val="both"/>
      </w:pPr>
      <w:r>
        <w:rPr>
          <w:b/>
        </w:rPr>
        <w:t>Argumento de reforço.</w:t>
      </w:r>
      <w:r>
        <w:t xml:space="preserve"> Os credores poderiam cobrar os encargos da cédula até o efetivo pagamento. A cessão transmite os acessórios (art. 287 do CC), e o REsp 1.984.424/SP (3ª Turma, Rel. Min. Villas Bôas Cueva, j. 23/08/2022, </w:t>
      </w:r>
      <w:r>
        <w:rPr>
          <w:b/>
        </w:rPr>
        <w:t>VERIFICADO</w:t>
      </w:r>
      <w:r>
        <w:t xml:space="preserve">) reconhece ao cessionário civil "o direito de cobrar os juros e demais encargos na forma originalmente pactuada". A renúncia voluntária aos encargos contratuais após 1995 </w:t>
      </w:r>
      <w:r>
        <w:rPr>
          <w:b/>
        </w:rPr>
        <w:t>reduz</w:t>
      </w:r>
      <w:r>
        <w:t xml:space="preserve"> o débito. Punir essa moderação com o retorno ao principal de 1987 inverte a lógica do sistema.</w:t>
      </w:r>
    </w:p>
    <w:p>
      <w:pPr>
        <w:jc w:val="both"/>
      </w:pPr>
      <w:r>
        <w:t>*</w:t>
      </w:r>
      <w:r>
        <w:rPr>
          <w:i/>
        </w:rPr>
        <w:t xml:space="preserve">Preclusão </w:t>
      </w:r>
      <w:r>
        <w:t>pro judicato*** (art. 505 do CPC; art. 471 do CPC/73). "Nenhum juiz decidirá novamente as questões já decididas relativas à mesma lide." A base de cálculo foi decidida em 23/11/1995. O juiz de 2025 não podia redecidi-la, e menos ainda em embargos de declaração rejeitados, opostos pela parte que nunca impugnara a homologação.</w:t>
      </w:r>
    </w:p>
    <w:p>
      <w:pPr>
        <w:jc w:val="both"/>
      </w:pPr>
      <w:r>
        <w:rPr>
          <w:b/>
        </w:rPr>
        <w:t>Preclusão temporal e consumativa das partes</w:t>
      </w:r>
      <w:r>
        <w:t xml:space="preserve"> (art. 507 do CPC; art. 473 do CPC/73). O executado deixou de agravar a homologação em 1995 e deixou de embargar à execução com base nesses critérios (não foram localizados embargos do devedor julgados). A exceção de 2024/2025 </w:t>
      </w:r>
      <w:r>
        <w:rPr>
          <w:b/>
        </w:rPr>
        <w:t>não impugnou a conta de 1995</w:t>
      </w:r>
      <w:r>
        <w:t>, conforme reconheceu o acórdão do AI 2236642.</w:t>
      </w:r>
    </w:p>
    <w:p>
      <w:pPr>
        <w:jc w:val="both"/>
      </w:pPr>
      <w:r>
        <w:rPr>
          <w:b/>
        </w:rPr>
        <w:t>Precedentes de preclusão de critérios de cálculo</w:t>
      </w:r>
      <w:r>
        <w:t xml:space="preserve"> (todos </w:t>
      </w:r>
      <w:r>
        <w:rPr>
          <w:b/>
        </w:rPr>
        <w:t>VERIFICADOS</w:t>
      </w:r>
      <w:r>
        <w:t>):</w:t>
      </w:r>
    </w:p>
    <w:p>
      <w:pPr>
        <w:pStyle w:val="ListBullet"/>
        <w:ind w:left="454"/>
      </w:pPr>
      <w:r>
        <w:t>STJ, AgInt no AREsp 1.464.166/SP, 4ª Turma, Rel. Min. Raul Araújo, j. 20/02/2020: "os critérios utilizados na liquidação de sentença para a formação do valor do débito sofrem preclusão, se não impugnados oportunamente";</w:t>
      </w:r>
    </w:p>
    <w:p>
      <w:pPr>
        <w:pStyle w:val="ListBullet"/>
        <w:ind w:left="454"/>
      </w:pPr>
      <w:r>
        <w:t>STJ, AgInt no REsp 1.373.978/MT, 4ª Turma, Rel. p/ acórdão Min. Raul Araújo, DJe 18/08/2020;</w:t>
      </w:r>
    </w:p>
    <w:p>
      <w:pPr>
        <w:pStyle w:val="ListBullet"/>
        <w:ind w:left="454"/>
      </w:pPr>
      <w:r>
        <w:t>STJ, REsp 1.745.408/DF, 3ª Turma, Rel. p/ acórdão Min. Marco Aurélio Bellizze, DJe 12/04/2019 (</w:t>
      </w:r>
      <w:r>
        <w:rPr>
          <w:b/>
        </w:rPr>
        <w:t>secundária</w:t>
      </w:r>
      <w:r>
        <w:t>): recálculo com juros e correção já indeferido e não recorrido ficou precluso.</w:t>
      </w:r>
    </w:p>
    <w:p>
      <w:pPr>
        <w:pStyle w:val="Heading3"/>
      </w:pPr>
      <w:r>
        <w:t>2.4. Riscos laterais que a Câmara pode suscitar</w:t>
      </w:r>
    </w:p>
    <w:p>
      <w:pPr>
        <w:pStyle w:val="ListBullet"/>
        <w:ind w:left="454"/>
      </w:pPr>
      <w:r>
        <w:rPr>
          <w:b/>
        </w:rPr>
        <w:t>SELIC como taxa do art. 406 do CC (2003 a 2024).</w:t>
      </w:r>
      <w:r>
        <w:t xml:space="preserve"> A Corte Especial do STJ fixou a SELIC como taxa do art. 406 na redação anterior à Lei 14.905/2024 (</w:t>
      </w:r>
      <w:r>
        <w:rPr>
          <w:b/>
        </w:rPr>
        <w:t>REsp 1.795.982/SP, 2024 — A CONFIRMAR no SCON</w:t>
      </w:r>
      <w:r>
        <w:t xml:space="preserve">). Nesse regime, SELIC e Tabela Prática não se cumulam. Muitas Câmaras do TJSP seguem aplicando 1% a.m. mais correção, mas o tema pode reduzir o valor. </w:t>
      </w:r>
      <w:r>
        <w:rPr>
          <w:b/>
        </w:rPr>
        <w:t>Não suscitar.</w:t>
      </w:r>
      <w:r>
        <w:t xml:space="preserve"> Se suscitado, sustentar que a própria decisão de fls. 3038/3044, mantida pela Câmara, adotou "juros legais de 1% ao mês", critério que ficou precluso também para o executado.</w:t>
      </w:r>
    </w:p>
    <w:p>
      <w:pPr>
        <w:pStyle w:val="ListBullet"/>
        <w:ind w:left="454"/>
      </w:pPr>
      <w:r>
        <w:rPr>
          <w:b/>
        </w:rPr>
        <w:t>Limite prático da satisfação.</w:t>
      </w:r>
      <w:r>
        <w:t xml:space="preserve"> O imóvel foi avaliado em R$ 12.833.936,57 (nov/2025), e o próprio parecer de fls. 3418 reconhece a restituição de eventual excedente. </w:t>
      </w:r>
      <w:r>
        <w:rPr>
          <w:b/>
        </w:rPr>
        <w:t>Usar isso a favor:</w:t>
      </w:r>
      <w:r>
        <w:t xml:space="preserve"> a discussão sobre a base não altera a expropriação do único bem, e todo excedente volta ao devedor. </w:t>
      </w:r>
      <w:r>
        <w:rPr>
          <w:b/>
        </w:rPr>
        <w:t>Não há dano ao executado</w:t>
      </w:r>
      <w:r>
        <w:t xml:space="preserve"> no prosseguimento com a base de 1995.</w:t>
      </w:r>
    </w:p>
    <w:p>
      <w:pPr>
        <w:pStyle w:val="Heading2"/>
      </w:pPr>
      <w:r>
        <w:t>SEÇÃO 3 — REFUTAÇÃO PONTO A PONTO DA MANIFESTAÇÃO E DO CÁLCULO DO EXECUTADO (fls. 3443/3459)</w:t>
      </w:r>
    </w:p>
    <w:p>
      <w:pPr>
        <w:pStyle w:val="Heading3"/>
      </w:pPr>
      <w:r>
        <w:t>3.1. Base de cálculo: o executado ignora a homologação e o título</w:t>
      </w:r>
    </w:p>
    <w:p>
      <w:pPr>
        <w:pStyle w:val="ListNumber"/>
        <w:ind w:left="454"/>
      </w:pPr>
      <w:r>
        <w:rPr>
          <w:b/>
        </w:rPr>
        <w:t>Ignora a homologação de 1995</w:t>
      </w:r>
      <w:r>
        <w:t xml:space="preserve">, que nunca impugnou: nem em 1995, nem em embargos, nem na exceção (AI 2236642: "única tese"). Pretender agora a base de 1987 é </w:t>
      </w:r>
      <w:r>
        <w:rPr>
          <w:b/>
        </w:rPr>
        <w:t>exatamente a "inovação processual"</w:t>
      </w:r>
      <w:r>
        <w:t xml:space="preserve"> que o juízo imputou aos credores.</w:t>
      </w:r>
    </w:p>
    <w:p>
      <w:pPr>
        <w:pStyle w:val="ListNumber"/>
        <w:ind w:left="454"/>
      </w:pPr>
      <w:r>
        <w:rPr>
          <w:b/>
        </w:rPr>
        <w:t>Ignora o próprio título.</w:t>
      </w:r>
      <w:r>
        <w:t xml:space="preserve"> O parecer de Natália Vita aplica juros civis desde </w:t>
      </w:r>
      <w:r>
        <w:rPr>
          <w:b/>
        </w:rPr>
        <w:t>06/05/1987</w:t>
      </w:r>
      <w:r>
        <w:t xml:space="preserve">, data de </w:t>
      </w:r>
      <w:r>
        <w:rPr>
          <w:b/>
        </w:rPr>
        <w:t>emissão</w:t>
      </w:r>
      <w:r>
        <w:t xml:space="preserve">, e não de vencimento (06/07/1987). Com isso, desconsidera por completo os </w:t>
      </w:r>
      <w:r>
        <w:rPr>
          <w:b/>
        </w:rPr>
        <w:t>juros remuneratórios pactuados</w:t>
      </w:r>
      <w:r>
        <w:t xml:space="preserve"> até o vencimento e o regime do art. 5º do DL 413/69 depois dele.</w:t>
      </w:r>
    </w:p>
    <w:p>
      <w:pPr>
        <w:pStyle w:val="ListNumber"/>
        <w:ind w:left="454"/>
      </w:pPr>
      <w:r>
        <w:rPr>
          <w:b/>
        </w:rPr>
        <w:t>Resultado economicamente implausível.</w:t>
      </w:r>
      <w:r>
        <w:t xml:space="preserve"> Um crédito bancário de Cz</w:t>
      </w:r>
      <w:r>
        <w:rPr>
          <w:i/>
        </w:rPr>
        <w:t xml:space="preserve"> 1.210.000,00, inadimplido há 39 anos, reduzido a R</w:t>
      </w:r>
      <w:r>
        <w:t xml:space="preserve"> 2,9 milhões, </w:t>
      </w:r>
      <w:r>
        <w:rPr>
          <w:b/>
        </w:rPr>
        <w:t>menos da metade da única proposta de arrematação</w:t>
      </w:r>
      <w:r>
        <w:t xml:space="preserve"> (R$ 6,42 milhões, rejeitada por preço vil). O cálculo converte a execução em prêmio à inadimplência.</w:t>
      </w:r>
    </w:p>
    <w:p>
      <w:pPr>
        <w:pStyle w:val="ListNumber"/>
        <w:ind w:left="454"/>
      </w:pPr>
      <w:r>
        <w:rPr>
          <w:b/>
        </w:rPr>
        <w:t>Contradição interna.</w:t>
      </w:r>
      <w:r>
        <w:t xml:space="preserve"> O parecer diz que os executados "devem </w:t>
      </w:r>
      <w:r>
        <w:rPr>
          <w:b/>
        </w:rPr>
        <w:t>impugnar</w:t>
      </w:r>
      <w:r>
        <w:t xml:space="preserve"> um valor total de R</w:t>
      </w:r>
      <w:r>
        <w:rPr>
          <w:i/>
        </w:rPr>
        <w:t xml:space="preserve"> 6.504.726,54". O número é da planilha dos exequentes de fls. 3441, e não do resultado próprio (R</w:t>
      </w:r>
      <w:r>
        <w:t xml:space="preserve"> 2.911.270,42). Há confusão de objeto.</w:t>
      </w:r>
    </w:p>
    <w:p>
      <w:pPr>
        <w:pStyle w:val="Heading3"/>
      </w:pPr>
      <w:r>
        <w:t>3.2. Juros de mora: juros civis de 6% a.a. aplicados à fase bancária</w:t>
      </w:r>
    </w:p>
    <w:p>
      <w:pPr>
        <w:pStyle w:val="ListBullet"/>
        <w:ind w:left="454"/>
      </w:pPr>
      <w:r>
        <w:t xml:space="preserve">De 1987 a 2010, o credor era </w:t>
      </w:r>
      <w:r>
        <w:rPr>
          <w:b/>
        </w:rPr>
        <w:t>instituição financeira</w:t>
      </w:r>
      <w:r>
        <w:t xml:space="preserve"> (Banespa, depois Santander). A </w:t>
      </w:r>
      <w:r>
        <w:rPr>
          <w:b/>
        </w:rPr>
        <w:t>Súmula 596/STF</w:t>
      </w:r>
      <w:r>
        <w:t xml:space="preserve"> afasta a Lei de Usura, e o </w:t>
      </w:r>
      <w:r>
        <w:rPr>
          <w:b/>
        </w:rPr>
        <w:t>DL 413/69, art. 5º</w:t>
      </w:r>
      <w:r>
        <w:t>, rege os encargos: juros remuneratórios da cédula, capitalização pactuada (Súmula 93/STJ) e mais 1% a.a. na mora.</w:t>
      </w:r>
    </w:p>
    <w:p>
      <w:pPr>
        <w:pStyle w:val="ListBullet"/>
        <w:ind w:left="454"/>
      </w:pPr>
      <w:r>
        <w:t xml:space="preserve">Os 6% a.a. do art. 1.062 do CC/1916 são </w:t>
      </w:r>
      <w:r>
        <w:rPr>
          <w:b/>
        </w:rPr>
        <w:t>taxa supletiva</w:t>
      </w:r>
      <w:r>
        <w:t xml:space="preserve"> para quando não houver convenção. </w:t>
      </w:r>
      <w:r>
        <w:rPr>
          <w:b/>
        </w:rPr>
        <w:t>Aqui há convenção</w:t>
      </w:r>
      <w:r>
        <w:t>, na cédula, e lei especial.</w:t>
      </w:r>
    </w:p>
    <w:p>
      <w:pPr>
        <w:pStyle w:val="ListBullet"/>
        <w:ind w:left="454"/>
      </w:pPr>
      <w:r>
        <w:t xml:space="preserve">A tese de que a cessão a pessoas físicas "civiliza" o crédito retroativamente </w:t>
      </w:r>
      <w:r>
        <w:rPr>
          <w:b/>
        </w:rPr>
        <w:t>já foi rejeitada</w:t>
      </w:r>
      <w:r>
        <w:t>: fls. 3038/3044, mantida pela Câmara no AI 2236642, com multa por má-fé ao executado. Além disso, o REsp 1.984.424/SP reconhece ao cessionário civil os encargos originais.</w:t>
      </w:r>
    </w:p>
    <w:p>
      <w:pPr>
        <w:pStyle w:val="ListBullet"/>
        <w:ind w:left="454"/>
      </w:pPr>
      <w:r>
        <w:rPr>
          <w:b/>
        </w:rPr>
        <w:t>Resposta à acusação de anatocismo na planilha de fls. 3441/3443 (ponto de honestidade estratégica).</w:t>
      </w:r>
      <w:r>
        <w:t xml:space="preserve"> A acusação </w:t>
      </w:r>
      <w:r>
        <w:rPr>
          <w:b/>
        </w:rPr>
        <w:t>procede em parte</w:t>
      </w:r>
      <w:r>
        <w:t xml:space="preserve">. A planilha dos exequentes aplicou 0,5% a.m. e 1% a.m. sobre "1.210.000,00" em valores nominais, sem correção prévia e sem indicar a moeda. Depois aplicou a taxa legal sobre o resultado (R$ 5.475.100,82), que já continha juros. </w:t>
      </w:r>
      <w:r>
        <w:rPr>
          <w:b/>
        </w:rPr>
        <w:t>Recomendação:</w:t>
      </w:r>
      <w:r>
        <w:t xml:space="preserve"> substituir a planilha na origem por memória correta, sempre </w:t>
      </w:r>
      <w:r>
        <w:rPr>
          <w:b/>
        </w:rPr>
        <w:t>sob protesto</w:t>
      </w:r>
      <w:r>
        <w:t xml:space="preserve"> e com ressalva do agravo. Isso tira do executado a sua melhor munição.</w:t>
      </w:r>
    </w:p>
    <w:p>
      <w:pPr>
        <w:pStyle w:val="Heading3"/>
      </w:pPr>
      <w:r>
        <w:t>3.3. Honorários advocatícios: 10% sobre o valor da causa</w:t>
      </w:r>
    </w:p>
    <w:p>
      <w:pPr>
        <w:pStyle w:val="ListNumber"/>
        <w:ind w:left="454"/>
      </w:pPr>
      <w:r>
        <w:rPr>
          <w:b/>
        </w:rPr>
        <w:t>A matéria está preclusa para o executado.</w:t>
      </w:r>
    </w:p>
    <w:p>
      <w:pPr>
        <w:pStyle w:val="ListBullet"/>
        <w:ind w:left="907"/>
      </w:pPr>
      <w:r>
        <w:t xml:space="preserve">As fls. 3038/3044, reproduzidas na fls. 3066, registram: "a multa de 10% e o valor dos honorários </w:t>
      </w:r>
      <w:r>
        <w:rPr>
          <w:b/>
        </w:rPr>
        <w:t>sequer são objeto de impugnação pelo executado</w:t>
      </w:r>
      <w:r>
        <w:t>".</w:t>
      </w:r>
    </w:p>
    <w:p>
      <w:pPr>
        <w:pStyle w:val="ListBullet"/>
        <w:ind w:left="907"/>
      </w:pPr>
      <w:r>
        <w:t xml:space="preserve">O acórdão do AI 2236642 (trânsito em 04/11/2025) assentou: "A exceção de pré-executividade apresentada </w:t>
      </w:r>
      <w:r>
        <w:rPr>
          <w:b/>
        </w:rPr>
        <w:t>não veiculou alegação de indevida inclusão da verba sucumbencial</w:t>
      </w:r>
      <w:r>
        <w:t>", e recusou-se a examiná-la por supressão de instância.</w:t>
      </w:r>
    </w:p>
    <w:p>
      <w:pPr>
        <w:pStyle w:val="ListBullet"/>
        <w:ind w:left="907"/>
      </w:pPr>
      <w:r>
        <w:t>Reabrir o tema em 20/08/2026 é inovação vedada (art. 507 do CPC).</w:t>
      </w:r>
    </w:p>
    <w:p>
      <w:pPr>
        <w:pStyle w:val="ListNumber"/>
        <w:ind w:left="454"/>
      </w:pPr>
      <w:r>
        <w:rPr>
          <w:b/>
        </w:rPr>
        <w:t>A conta homologada de 1995 aplicou 20% sobre o débito</w:t>
      </w:r>
      <w:r>
        <w:t xml:space="preserve"> (R$ 1.156.481,45) e está irrecorrida. É essa a fonte a invocar.</w:t>
      </w:r>
    </w:p>
    <w:p>
      <w:pPr>
        <w:pStyle w:val="ListNumber"/>
        <w:ind w:left="454"/>
      </w:pPr>
      <w:r>
        <w:rPr>
          <w:b/>
        </w:rPr>
        <w:t>Fls. 52:</w:t>
      </w:r>
      <w:r>
        <w:t xml:space="preserve"> a transcrição disponível [TRANSCR.] consigna 20% "sobre o valor dado à causa". O executado admite que a folha "está ilegível" e recorre a fls. 54. </w:t>
      </w:r>
      <w:r>
        <w:rPr>
          <w:b/>
        </w:rPr>
        <w:t>Leitura de documento ilegível não afasta decisão homologatória posterior e específica.</w:t>
      </w:r>
    </w:p>
    <w:p>
      <w:pPr>
        <w:pStyle w:val="ListNumber"/>
        <w:ind w:left="454"/>
      </w:pPr>
      <w:r>
        <w:rPr>
          <w:b/>
        </w:rPr>
        <w:t>Erro material grave no cálculo do executado.</w:t>
      </w:r>
      <w:r>
        <w:t xml:space="preserve"> Natália Vita adota como valor da causa </w:t>
      </w:r>
      <w:r>
        <w:rPr>
          <w:b/>
        </w:rPr>
        <w:t>Cz$ 234.029,34</w:t>
      </w:r>
      <w:r>
        <w:t xml:space="preserve">. A inicial (fls. 30/31) [TRANSCR.] indica </w:t>
      </w:r>
      <w:r>
        <w:rPr>
          <w:b/>
        </w:rPr>
        <w:t>Cz$ 2.340.293,44</w:t>
      </w:r>
      <w:r>
        <w:t xml:space="preserve">. A diferença é de 10 vezes, o que reduz artificialmente os honorários. </w:t>
      </w:r>
      <w:r>
        <w:rPr>
          <w:b/>
        </w:rPr>
        <w:t>Conferir no original e explorar.</w:t>
      </w:r>
    </w:p>
    <w:p>
      <w:pPr>
        <w:pStyle w:val="ListNumber"/>
        <w:ind w:left="454"/>
      </w:pPr>
      <w:r>
        <w:rPr>
          <w:b/>
        </w:rPr>
        <w:t>Metodologia:</w:t>
      </w:r>
      <w:r>
        <w:t xml:space="preserve"> juros sobre honorários contados desde 1987 contrariam o termo inicial próprio da verba. O erro favorece o credor, mas revela a falta de rigor do parecer.</w:t>
      </w:r>
    </w:p>
    <w:p>
      <w:pPr>
        <w:pStyle w:val="Heading3"/>
      </w:pPr>
      <w:r>
        <w:t>3.4. Multa por litigância de má-fé: esclarecimento conceitual e percentual correto</w:t>
      </w:r>
    </w:p>
    <w:p>
      <w:pPr>
        <w:pStyle w:val="ListBullet"/>
        <w:ind w:left="454"/>
      </w:pPr>
      <w:r>
        <w:rPr>
          <w:b/>
        </w:rPr>
        <w:t>Correção conceitual.</w:t>
      </w:r>
      <w:r>
        <w:t xml:space="preserve"> A Lei 14.905/2024 </w:t>
      </w:r>
      <w:r>
        <w:rPr>
          <w:b/>
        </w:rPr>
        <w:t>não disciplina multa</w:t>
      </w:r>
      <w:r>
        <w:t xml:space="preserve">. Ela alterou os arts. 389, 395 e 406 do Código Civil: a correção passou a ser pelo IPCA e os juros pela taxa legal (SELIC menos IPCA, com piso zero). A multa por litigância de má-fé decorre dos </w:t>
      </w:r>
      <w:r>
        <w:rPr>
          <w:b/>
        </w:rPr>
        <w:t>arts. 80 e 81 do CPC</w:t>
      </w:r>
      <w:r>
        <w:t xml:space="preserve">, e a multa contratual de 10% decorre da </w:t>
      </w:r>
      <w:r>
        <w:rPr>
          <w:b/>
        </w:rPr>
        <w:t>cédula e do DL 413/69</w:t>
      </w:r>
      <w:r>
        <w:t xml:space="preserve">. A Lei 14.905 incide apenas na </w:t>
      </w:r>
      <w:r>
        <w:rPr>
          <w:b/>
        </w:rPr>
        <w:t>atualização</w:t>
      </w:r>
      <w:r>
        <w:t xml:space="preserve"> desses valores.</w:t>
      </w:r>
    </w:p>
    <w:p>
      <w:pPr>
        <w:pStyle w:val="ListBullet"/>
        <w:ind w:left="454"/>
      </w:pPr>
      <w:r>
        <w:rPr>
          <w:b/>
        </w:rPr>
        <w:t>Percentual e base (coisa julgada).</w:t>
      </w:r>
      <w:r>
        <w:t xml:space="preserve"> O AI 2236642-80.2025 (j. 07/10/2025; trânsito 04/11/2025) reduziu a multa "para </w:t>
      </w:r>
      <w:r>
        <w:rPr>
          <w:b/>
        </w:rPr>
        <w:t>1% do valor executado</w:t>
      </w:r>
      <w:r>
        <w:t xml:space="preserve">". A base é o </w:t>
      </w:r>
      <w:r>
        <w:rPr>
          <w:b/>
        </w:rPr>
        <w:t>valor executado</w:t>
      </w:r>
      <w:r>
        <w:t xml:space="preserve">, e não o "valor da condenação" nem o "valor da causa". Os exequentes erraram ao lançar 9% às fls. 3078 e 3442, e isso deve ser corrigido. A base "valor executado" segue o que for fixado como débito: </w:t>
      </w:r>
      <w:r>
        <w:rPr>
          <w:b/>
        </w:rPr>
        <w:t>mais um motivo pelo qual a definição da base (1995 ou 1987) repercute também na multa</w:t>
      </w:r>
      <w:r>
        <w:t>.</w:t>
      </w:r>
    </w:p>
    <w:p>
      <w:pPr>
        <w:pStyle w:val="ListBullet"/>
        <w:ind w:left="454"/>
      </w:pPr>
      <w:r>
        <w:rPr>
          <w:b/>
        </w:rPr>
        <w:t>Omissão relevante do executado.</w:t>
      </w:r>
      <w:r>
        <w:t xml:space="preserve"> A decisão de fls. 3278/3283 impôs ao Espólio </w:t>
      </w:r>
      <w:r>
        <w:rPr>
          <w:b/>
        </w:rPr>
        <w:t>nova multa de 5% "sobre o valor atualizado da execução"</w:t>
      </w:r>
      <w:r>
        <w:t xml:space="preserve">, mantida pela Câmara no AI 2353386-61.2025 (trânsito em 31/03/2026). </w:t>
      </w:r>
      <w:r>
        <w:rPr>
          <w:b/>
        </w:rPr>
        <w:t>O cálculo de Natália Vita omite essa multa por inteiro.</w:t>
      </w:r>
      <w:r>
        <w:t xml:space="preserve"> As duas multas revertem aos exequentes (art. 96 do CPC).</w:t>
      </w:r>
    </w:p>
    <w:p>
      <w:pPr>
        <w:pStyle w:val="ListBullet"/>
        <w:ind w:left="454"/>
      </w:pPr>
      <w:r>
        <w:rPr>
          <w:b/>
        </w:rPr>
        <w:t>Multa contratual de 10%.</w:t>
      </w:r>
      <w:r>
        <w:t xml:space="preserve"> Incide sobre o débito, conforme a cédula, a inicial e a conta de 1995, e é incontroversa (fls. 3038/3044).</w:t>
      </w:r>
    </w:p>
    <w:p>
      <w:pPr>
        <w:pStyle w:val="Heading2"/>
      </w:pPr>
      <w:r>
        <w:t>SEÇÃO 4 — PRECEDENTES PARADIGMÁTICOS (BLINDAGEM JURISPRUDENCIAL)</w:t>
      </w:r>
    </w:p>
    <w:p>
      <w:pPr>
        <w:ind w:left="680"/>
      </w:pPr>
      <w:r>
        <w:rPr>
          <w:sz w:val="22"/>
        </w:rPr>
        <w:t>Use só os marcados VERIFICADO. Os marcados "A CONFIRMAR" exigem consulta ao SCON/STJ ou ao e-SAJ antes de qualquer citação.</w:t>
      </w:r>
    </w:p>
    <w:p>
      <w:pPr>
        <w:pStyle w:val="Heading3"/>
      </w:pPr>
      <w:r>
        <w:t>4.1. Preclusão de critérios de cálculo e de decisão homologatória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  <w:sz w:val="19"/>
              </w:rPr>
              <w:t>Tribunal / órgão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Processo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Relator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Tese central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AREsp 2.019.623/SP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Raul Araújo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sessão virtual 13 a 19/09/2022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"sujeitam-se à preclusão consumativa as questões decididas no processo, inclusive as de ordem pública, que não tenham sido objeto de impugnação recursal no momento próprio"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AREsp 1.464.166/SP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Raul Araújo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20/02/2020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Critérios de liquidação não impugnados oportunamente precluem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REsp 1.373.978/MT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Rel. p/ ac. Min. Raul Araújo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02/06/2020 (DJe 18/08/2020)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Havendo decisão anterior sobre a matéria, incide preclusão consumativa se não houver recurso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3ª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REsp 1.745.408/DF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Rel. p/ ac. Min. Marco Aurélio Bellizze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12/03/2019 (DJe 12/04/2019)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Recálculo com juros e correção já indeferido e não recorrido: preclusão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 (secundária)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2ª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REsp 2.116.698/RS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Herman Benjamin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DJe 28/06/2024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 xml:space="preserve">Preclusão </w:t>
            </w:r>
            <w:r>
              <w:rPr>
                <w:i/>
                <w:sz w:val="19"/>
              </w:rPr>
              <w:t>pro judicato</w:t>
            </w:r>
            <w:r>
              <w:rPr>
                <w:sz w:val="19"/>
              </w:rPr>
              <w:t>, inclusive em matéria de ordem pública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REsp 1.905.721/PE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Rel. p/ ac. Min. Maria Isabel Gallotti (vencido o Min. Salomão)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18/03/2025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 xml:space="preserve">Homologação que distorce o título viola a coisa julgada. </w:t>
            </w:r>
            <w:r>
              <w:rPr>
                <w:b/>
                <w:sz w:val="19"/>
              </w:rPr>
              <w:t>Cuidado: pode ser usado contra a conta de 1995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2ª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REsp 1.861.550/DF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Og Fernandes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16/06/2020 (DJe 04/08/2020)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Juízo da execução não pode alterar parâmetros do título, nem para adequá-los a precedente vinculante (caso da Fazenda Pública)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TJSP, 20ª Câm. Dir. Priv.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AI 2123223-58.2020.8.26.0000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Des. Rebello Pinho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24/08/2020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Modificar a base ou os critérios fixados no título configura violação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</w:tbl>
    <w:p/>
    <w:p>
      <w:pPr>
        <w:jc w:val="both"/>
      </w:pPr>
      <w:r>
        <w:rPr>
          <w:b/>
        </w:rPr>
        <w:t>Contrários, a distinguir</w:t>
      </w:r>
      <w:r>
        <w:t xml:space="preserve"> (todos ressalvam a hipótese de </w:t>
      </w:r>
      <w:r>
        <w:rPr>
          <w:b/>
        </w:rPr>
        <w:t>decisão homologatória expressa</w:t>
      </w:r>
      <w:r>
        <w:t>, que existe aqui):</w:t>
      </w:r>
    </w:p>
    <w:p>
      <w:pPr>
        <w:pStyle w:val="ListBullet"/>
        <w:ind w:left="454"/>
      </w:pPr>
      <w:r>
        <w:t>STJ, REsp 1.538.235/DF (Min. Nancy Andrighi, DJe 29/05/2019): data de julgamento A CONFIRMAR;</w:t>
      </w:r>
    </w:p>
    <w:p>
      <w:pPr>
        <w:pStyle w:val="ListBullet"/>
        <w:ind w:left="454"/>
      </w:pPr>
      <w:r>
        <w:t xml:space="preserve">STJ, REsp 1.432.902/RS (Min. Bellizze): </w:t>
      </w:r>
      <w:r>
        <w:rPr>
          <w:i/>
        </w:rPr>
        <w:t>"A questão só estaria preclusa se tivesse havido decisão judicial a respeito"</w:t>
      </w:r>
      <w:r>
        <w:t>;</w:t>
      </w:r>
    </w:p>
    <w:p>
      <w:pPr>
        <w:pStyle w:val="ListBullet"/>
        <w:ind w:left="454"/>
      </w:pPr>
      <w:r>
        <w:t>STJ, AREsp 2.485.740/SP (monocrática, DJe 18/03/2024).</w:t>
      </w:r>
    </w:p>
    <w:p>
      <w:pPr>
        <w:pStyle w:val="Heading3"/>
      </w:pPr>
      <w:r>
        <w:t>4.2. Erro material versus critério de cálculo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  <w:sz w:val="19"/>
              </w:rPr>
              <w:t>Tribunal / órgão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Processo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Relator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Tese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3ª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REsp 2.127.021/DF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Humberto Martins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19/08/2024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Erro material é o aritmético. Critério preclui. Homologação com concordância preclui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1ª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 REsp 1.830.905/SC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Benedito Gonçalves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09/03/2020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Critérios, inclusive de juros e correção, sujeitam-se à preclusão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1ª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AgInt nos EDcl no REsp 1.518.739/RS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Gurgel de Faria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DJe 19/12/2019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Idem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</w:tbl>
    <w:p/>
    <w:p>
      <w:pPr>
        <w:pStyle w:val="Heading3"/>
      </w:pPr>
      <w:r>
        <w:t>4.3. Juros sobre saldo consolidado e anatocismo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9"/>
              </w:rPr>
              <w:t>Tribunal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Referência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Tese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Status / uso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STJ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Súmula 102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Juros moratórios sobre compensatórios em desapropriação não constituem anatocismo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 xml:space="preserve">VERIFICADO. Analogia de </w:t>
            </w:r>
            <w:r>
              <w:rPr>
                <w:i/>
                <w:sz w:val="19"/>
              </w:rPr>
              <w:t>ratio</w:t>
            </w:r>
            <w:r>
              <w:rPr>
                <w:sz w:val="19"/>
              </w:rPr>
              <w:t>, restrita à desapropriação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STJ, 3ª T.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AgRg no REsp 1.532.388/MS (Min. Villas Bôas Cueva, 03/11/2015)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Juros de mora e correção podem ser incluídos na conta "ainda que já homologado o cálculo anterior", salvo fixação anterior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VERIFICADO (secundária)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STJ, 2ª Seção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EInf nos EDcl na AR 3.150/MG (Min. Massami Uyeda, DJe 09/03/2012)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 xml:space="preserve">Capitalização não prevista no título viola a coisa julgada. </w:t>
            </w:r>
            <w:r>
              <w:rPr>
                <w:b/>
                <w:sz w:val="19"/>
              </w:rPr>
              <w:t>Contrário; distinguir</w:t>
            </w:r>
            <w:r>
              <w:rPr>
                <w:sz w:val="19"/>
              </w:rPr>
              <w:t>: aqui a capitalização está prevista no título e na lei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VERIFICADO (secundária)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Precedente do STJ dizendo expressamente que juros de mora não incidem sobre juros já computados em conta homologada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9"/>
              </w:rPr>
              <w:t>Não localizado.</w:t>
            </w:r>
            <w:r>
              <w:rPr>
                <w:sz w:val="19"/>
              </w:rPr>
              <w:t xml:space="preserve"> Não afirmar que existe jurisprudência pacífica em nenhum dos sentidos</w:t>
            </w:r>
          </w:p>
        </w:tc>
        <w:tc>
          <w:tcPr>
            <w:tcW w:type="dxa" w:w="2351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3"/>
      </w:pPr>
      <w:r>
        <w:t>4.4. Cédula de crédito industrial, DL 413/69 e Súmula 93/STJ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b/>
                <w:sz w:val="19"/>
              </w:rPr>
              <w:t>Tribunal / órgão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Processo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Relator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Data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Tese</w:t>
            </w:r>
          </w:p>
        </w:tc>
        <w:tc>
          <w:tcPr>
            <w:tcW w:type="dxa" w:w="1568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REsp 31.025/RS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Sálvio de Figueiredo Teixeira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17/02/1993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Lícita a capitalização mensal em cédula de crédito industrial (DL 413/69)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Súmula 93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Legislação das cédulas admite pacto de capitalização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STF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Súmula 596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Lei de Usura inaplicável às instituições do SFN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3ª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REsp 1.984.424/SP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Villas Bôas Cueva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23/08/2022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Cessionário civil mantém os encargos pactuados (CCB)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STF, Pleno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RE 631.537/RS (Tema 361)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Marco Aurélio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22/05/2020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Cessão não altera a natureza do crédito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4ª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AgRg no AREsp 488.782/RS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Isabel Gallotti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DJe 05/05/2015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 xml:space="preserve">Nas cédulas, na inadimplência: juros remuneratórios, mora e multa; sem comissão de permanência. </w:t>
            </w:r>
            <w:r>
              <w:rPr>
                <w:b/>
                <w:sz w:val="19"/>
              </w:rPr>
              <w:t>Contrário quanto à "mora de 1% a.m." da conta de 1995; neutralizar pela preclusão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 (secundária)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STJ, 3ª T.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AgRg no REsp 1.556.250/PB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Min. Moura Ribeiro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DJe 15/02/2016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Idem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 (secundária)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9"/>
              </w:rPr>
              <w:t>STJ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Súmula 381 (REsp 1.061.530/RS, repetitivo)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Vedado ao julgador conhecer de ofício a abusividade de cláusulas em contratos bancários</w:t>
            </w:r>
          </w:p>
        </w:tc>
        <w:tc>
          <w:tcPr>
            <w:tcW w:type="dxa" w:w="1568"/>
          </w:tcPr>
          <w:p>
            <w:r/>
            <w:r>
              <w:rPr>
                <w:sz w:val="19"/>
              </w:rPr>
              <w:t>VERIFICADO (texto e origem)</w:t>
            </w:r>
          </w:p>
        </w:tc>
        <w:tc>
          <w:tcPr>
            <w:tcW w:type="dxa" w:w="1568"/>
          </w:tcPr>
          <w:p>
            <w:r/>
          </w:p>
        </w:tc>
        <w:tc>
          <w:tcPr>
            <w:tcW w:type="dxa" w:w="1568"/>
          </w:tcPr>
          <w:p>
            <w:r/>
          </w:p>
        </w:tc>
      </w:tr>
    </w:tbl>
    <w:p/>
    <w:p>
      <w:pPr>
        <w:pStyle w:val="Heading3"/>
      </w:pPr>
      <w:r>
        <w:t>4.5. Cumprimento de ordem judicial sem preclusão lógica (art. 1.000, parágrafo único, do CPC)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Referência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Tese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CPC, art. 1.000, parágrafo único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Aceitação tácita exige ato </w:t>
            </w:r>
            <w:r>
              <w:rPr>
                <w:b/>
                <w:sz w:val="19"/>
              </w:rPr>
              <w:t>sem nenhuma reserva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incompatível</w:t>
            </w:r>
            <w:r>
              <w:rPr>
                <w:sz w:val="19"/>
              </w:rPr>
              <w:t xml:space="preserve"> com a vontade de recorrer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Texto legal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CPC, art. 520, § 3º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Depósito para se isentar da multa "não será havido como incompatível com o recurso" (princípio da compatibilidade do cumprimento compulsório)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Texto legal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Precedente do STJ específico ("cumprir ordem não é aquiescência")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 CONFIRMAR.</w:t>
            </w:r>
            <w:r>
              <w:rPr>
                <w:sz w:val="19"/>
              </w:rPr>
              <w:t xml:space="preserve"> Nenhum número foi conferido. Pesquisar no SCON: "cumprimento de decisão" E "aquiescência" E "preclusão lógica"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Contrário:</w:t>
            </w:r>
            <w:r>
              <w:rPr>
                <w:sz w:val="19"/>
              </w:rPr>
              <w:t xml:space="preserve"> STJ, AgInt no REsp 1.476.534/CE (2ª T., Min. Og Fernandes, 16/08/2021)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Apresentar valores sem ressalva gera preclusão lógica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 xml:space="preserve">VERIFICADO. </w:t>
            </w:r>
            <w:r>
              <w:rPr>
                <w:b/>
                <w:sz w:val="19"/>
              </w:rPr>
              <w:t>Distinguir:</w:t>
            </w:r>
            <w:r>
              <w:rPr>
                <w:sz w:val="19"/>
              </w:rPr>
              <w:t xml:space="preserve"> ali o ato foi espontâneo (valores incontroversos); aqui foi ato devido, sob prazo e cominação</w:t>
            </w:r>
          </w:p>
        </w:tc>
      </w:tr>
    </w:tbl>
    <w:p/>
    <w:p>
      <w:pPr>
        <w:pStyle w:val="Heading3"/>
      </w:pPr>
      <w:r>
        <w:t>4.6. Decisão meramente reiterativa e prazo recursal</w:t>
      </w:r>
    </w:p>
    <w:p>
      <w:pPr>
        <w:jc w:val="both"/>
      </w:pPr>
      <w:r>
        <w:t xml:space="preserve">A tese de que o prazo conta da decisão originária, e não daquela que apenas a reitera, circula amplamente. Porém </w:t>
      </w:r>
      <w:r>
        <w:rPr>
          <w:b/>
        </w:rPr>
        <w:t>nenhum número de processo do STJ pôde ser conferido</w:t>
      </w:r>
      <w:r>
        <w:t xml:space="preserve"> (A CONFIRMAR). </w:t>
      </w:r>
      <w:r>
        <w:rPr>
          <w:b/>
        </w:rPr>
        <w:t>Espere que a contraminuta a suscite</w:t>
      </w:r>
      <w:r>
        <w:t xml:space="preserve"> e prepare a distinção da Seção 1.1.1, item 2.</w:t>
      </w:r>
    </w:p>
    <w:p>
      <w:pPr>
        <w:pStyle w:val="Heading3"/>
      </w:pPr>
      <w:r>
        <w:t>4.7. Precedentes da 13ª Câmara de Direito Privado</w:t>
      </w:r>
    </w:p>
    <w:p>
      <w:pPr>
        <w:jc w:val="both"/>
      </w:pPr>
      <w:r>
        <w:t xml:space="preserve">Não foi localizado acórdão confirmável da 13ª Câmara, nem da Relatora, sobre preclusão de conta homologada ou cédula industrial. </w:t>
      </w:r>
      <w:r>
        <w:rPr>
          <w:b/>
        </w:rPr>
        <w:t>Precedente-chave da própria Relatora neste processo:</w:t>
      </w:r>
      <w:r>
        <w:t xml:space="preserve"> AI 2236642-80.2025.8.26.0000 (j. 07/10/2025, v.u., com Simões de Almeida, Francisco Giaquinto e Nelson Jorge Júnior). Dele se extraem três pontos úteis:</w:t>
      </w:r>
    </w:p>
    <w:p>
      <w:pPr>
        <w:pStyle w:val="ListBullet"/>
        <w:ind w:left="454"/>
      </w:pPr>
      <w:r>
        <w:t xml:space="preserve">a exceção teve </w:t>
      </w:r>
      <w:r>
        <w:rPr>
          <w:b/>
        </w:rPr>
        <w:t>tese única</w:t>
      </w:r>
      <w:r>
        <w:t xml:space="preserve"> (encargos após a cessão);</w:t>
      </w:r>
    </w:p>
    <w:p>
      <w:pPr>
        <w:pStyle w:val="ListBullet"/>
        <w:ind w:left="454"/>
      </w:pPr>
      <w:r>
        <w:t xml:space="preserve">a verba honorária </w:t>
      </w:r>
      <w:r>
        <w:rPr>
          <w:b/>
        </w:rPr>
        <w:t>não foi impugnada</w:t>
      </w:r>
      <w:r>
        <w:t>;</w:t>
      </w:r>
    </w:p>
    <w:p>
      <w:pPr>
        <w:pStyle w:val="ListBullet"/>
        <w:ind w:left="454"/>
      </w:pPr>
      <w:r>
        <w:t>a Câmara recusa decidir matérias não submetidas ao primeiro grau.</w:t>
      </w:r>
    </w:p>
    <w:p>
      <w:pPr>
        <w:jc w:val="both"/>
      </w:pPr>
      <w:r>
        <w:rPr>
          <w:b/>
        </w:rPr>
        <w:t>Esse é o precedente mais persuasivo à disposição, porque é da própria Turma Julgadora.</w:t>
      </w:r>
    </w:p>
    <w:p>
      <w:pPr>
        <w:pStyle w:val="Heading2"/>
      </w:pPr>
      <w:r>
        <w:t>SEÇÃO 5 — ESTRATÉGIA FINAL</w:t>
      </w:r>
    </w:p>
    <w:p>
      <w:pPr>
        <w:pStyle w:val="Heading3"/>
      </w:pPr>
      <w:r>
        <w:t>A. MINUTA DE MEMORIAL (entregar à Relatora e aos vogais)</w:t>
      </w:r>
    </w:p>
    <w:p>
      <w:pPr>
        <w:ind w:left="680"/>
      </w:pPr>
      <w:r>
        <w:rPr>
          <w:b/>
          <w:sz w:val="22"/>
        </w:rPr>
        <w:t>MEMORIAL</w:t>
      </w:r>
    </w:p>
    <w:p>
      <w:pPr>
        <w:ind w:left="680"/>
      </w:pPr>
      <w:r>
        <w:rPr>
          <w:b/>
          <w:sz w:val="22"/>
        </w:rPr>
        <w:t>Agravo de Instrumento nº 2186351-42.2026.8.26.0000 — 13ª Câmara de Direito Privado</w:t>
      </w:r>
    </w:p>
    <w:p>
      <w:pPr>
        <w:ind w:left="680"/>
      </w:pPr>
      <w:r>
        <w:rPr>
          <w:b/>
          <w:sz w:val="22"/>
        </w:rPr>
        <w:t>Relatora: Exma. Sra. Des. Ana de Lourdes Coutinho Silva da Fonseca</w:t>
      </w:r>
    </w:p>
    <w:p>
      <w:pPr>
        <w:ind w:left="680"/>
      </w:pPr>
      <w:r>
        <w:rPr>
          <w:sz w:val="22"/>
        </w:rPr>
        <w:t>Agravantes: Eduardo Oliveira Rosini e outros | Agravado: Espólio de Sérgio Bueno Pereira da Cunha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Síntese:</w:t>
      </w:r>
      <w:r>
        <w:rPr>
          <w:sz w:val="22"/>
        </w:rPr>
        <w:t xml:space="preserve"> execução de Cédula de Crédito Industrial (DL 413/69), de 1987. A conta da Contadoria foi impugnada, retificada por ordem judicial e </w:t>
      </w:r>
      <w:r>
        <w:rPr>
          <w:b/>
          <w:sz w:val="22"/>
        </w:rPr>
        <w:t>homologada em 23/11/1995</w:t>
      </w:r>
      <w:r>
        <w:rPr>
          <w:sz w:val="22"/>
        </w:rPr>
        <w:t xml:space="preserve"> (fls. 152), com certidão de decurso de prazo "sem manifestação das partes" (fls. 152v, de 29/12/1995). Trinta anos depois, em </w:t>
      </w:r>
      <w:r>
        <w:rPr>
          <w:b/>
          <w:sz w:val="22"/>
        </w:rPr>
        <w:t>embargos de declaração do executado, que foram rejeitados</w:t>
      </w:r>
      <w:r>
        <w:rPr>
          <w:sz w:val="22"/>
        </w:rPr>
        <w:t>, o Juízo determinou de ofício o refazimento da conta a partir de 1987 (fls. 3064/3066). A decisão agravada (fls. 3435/3437) não conheceu da petição que defendia a base homologada e reiterou aquele comando.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1º PONTO: a decisão de fls. 3066 redecidiu, de ofício e fora dos limites do incidente, questão preclusa desde 1995 (art. 505 do CPC; arts. 471 e 473 do CPC/73).</w:t>
      </w:r>
    </w:p>
    <w:p>
      <w:pPr>
        <w:ind w:left="680"/>
      </w:pPr>
      <w:r>
        <w:rPr>
          <w:sz w:val="22"/>
        </w:rPr>
        <w:t xml:space="preserve">Como esta Colenda Câmara assentou no AI 2236642-80.2025, da mesma Relatoria, a exceção de pré-executividade do executado veiculou </w:t>
      </w:r>
      <w:r>
        <w:rPr>
          <w:b/>
          <w:sz w:val="22"/>
        </w:rPr>
        <w:t>tese única</w:t>
      </w:r>
      <w:r>
        <w:rPr>
          <w:sz w:val="22"/>
        </w:rPr>
        <w:t xml:space="preserve">: a impossibilidade de cessionários pessoas físicas cobrarem encargos bancários. </w:t>
      </w:r>
      <w:r>
        <w:rPr>
          <w:b/>
          <w:sz w:val="22"/>
        </w:rPr>
        <w:t>Em nenhum momento o executado impugnou a conta homologada de 1995.</w:t>
      </w:r>
      <w:r>
        <w:rPr>
          <w:sz w:val="22"/>
        </w:rPr>
        <w:t xml:space="preserve"> Ao desconstituir a base homologada em embargos de declaração rejeitados, o Juízo:</w:t>
      </w:r>
    </w:p>
    <w:p>
      <w:pPr>
        <w:ind w:left="680"/>
      </w:pPr>
      <w:r>
        <w:rPr>
          <w:sz w:val="22"/>
        </w:rPr>
        <w:t>(i) redecidiu questão decidida (art. 505);</w:t>
      </w:r>
    </w:p>
    <w:p>
      <w:pPr>
        <w:ind w:left="680"/>
      </w:pPr>
      <w:r>
        <w:rPr>
          <w:sz w:val="22"/>
        </w:rPr>
        <w:t xml:space="preserve">(ii) conheceu de ofício a pretensa abusividade de encargos de contrato bancário, o que é vedado pela </w:t>
      </w:r>
      <w:r>
        <w:rPr>
          <w:b/>
          <w:sz w:val="22"/>
        </w:rPr>
        <w:t>Súmula 381/STJ</w:t>
      </w:r>
      <w:r>
        <w:rPr>
          <w:sz w:val="22"/>
        </w:rPr>
        <w:t>;</w:t>
      </w:r>
    </w:p>
    <w:p>
      <w:pPr>
        <w:ind w:left="680"/>
      </w:pPr>
      <w:r>
        <w:rPr>
          <w:sz w:val="22"/>
        </w:rPr>
        <w:t>(iii) proferiu decisão-surpresa (arts. 9º e 10 do CPC).</w:t>
      </w:r>
    </w:p>
    <w:p>
      <w:pPr>
        <w:ind w:left="680"/>
      </w:pPr>
      <w:r>
        <w:rPr>
          <w:sz w:val="22"/>
        </w:rPr>
        <w:t>"Sujeitam-se à preclusão consumativa as questões decididas no processo, inclusive as de ordem pública, que não tenham sido objeto de impugnação recursal no momento próprio" (STJ, AgInt no AREsp 2.019.623/SP). Critério de cálculo não é erro material (STJ, AgInt no REsp 2.127.021/DF; AgInt no REsp 1.830.905/SC). O executado jamais recorreu da homologação: a preclusão lhe é oponível, e também ao Juízo.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2º PONTO: não há anatocismo. Juros licitamente capitalizados são capital, e após 1995 incidem apenas juros legais simples.</w:t>
      </w:r>
    </w:p>
    <w:p>
      <w:pPr>
        <w:ind w:left="680"/>
      </w:pPr>
      <w:r>
        <w:rPr>
          <w:sz w:val="22"/>
        </w:rPr>
        <w:t>Até 05/10/1995, o crédito era bancário (Banespa, depois Santander; cessão só em 31/03/2010), regido pelo DL 413/69, cujo art. 5º autoriza a capitalização (</w:t>
      </w:r>
      <w:r>
        <w:rPr>
          <w:b/>
          <w:sz w:val="22"/>
        </w:rPr>
        <w:t>Súmula 93/STJ</w:t>
      </w:r>
      <w:r>
        <w:rPr>
          <w:sz w:val="22"/>
        </w:rPr>
        <w:t xml:space="preserve">; STJ, REsp 31.025/RS; </w:t>
      </w:r>
      <w:r>
        <w:rPr>
          <w:b/>
          <w:sz w:val="22"/>
        </w:rPr>
        <w:t>Súmula 596/STF</w:t>
      </w:r>
      <w:r>
        <w:rPr>
          <w:sz w:val="22"/>
        </w:rPr>
        <w:t xml:space="preserve">). Quando a capitalização é lícita, o juro capitalizado </w:t>
      </w:r>
      <w:r>
        <w:rPr>
          <w:b/>
          <w:sz w:val="22"/>
        </w:rPr>
        <w:t>converte-se em capital</w:t>
      </w:r>
      <w:r>
        <w:rPr>
          <w:sz w:val="22"/>
        </w:rPr>
        <w:t xml:space="preserve">. O saldo homologado de R$ 5.256.733,85 é capital consolidado. Sobre ele, a planilha de fls. 3419 aplica </w:t>
      </w:r>
      <w:r>
        <w:rPr>
          <w:b/>
          <w:sz w:val="22"/>
        </w:rPr>
        <w:t>uma única camada</w:t>
      </w:r>
      <w:r>
        <w:rPr>
          <w:sz w:val="22"/>
        </w:rPr>
        <w:t xml:space="preserve"> de juros legais </w:t>
      </w:r>
      <w:r>
        <w:rPr>
          <w:b/>
          <w:sz w:val="22"/>
        </w:rPr>
        <w:t>simples</w:t>
      </w:r>
      <w:r>
        <w:rPr>
          <w:sz w:val="22"/>
        </w:rPr>
        <w:t xml:space="preserve"> (0,5% a.m. até 2003, 1% a.m. até 08/2024 e taxa legal da Lei 14.905/2024 depois), além da correção pela Tabela Prática. Nenhum juro posterior a 1995 é incorporado à base. Os credores, aliás, renunciaram aos encargos contratuais pós-1995 que poderiam exigir (STJ, REsp 1.984.424/SP), </w:t>
      </w:r>
      <w:r>
        <w:rPr>
          <w:b/>
          <w:sz w:val="22"/>
        </w:rPr>
        <w:t>em benefício do devedor</w:t>
      </w:r>
      <w:r>
        <w:rPr>
          <w:sz w:val="22"/>
        </w:rPr>
        <w:t>. Punir essa moderação com o retorno ao principal de 1987 subverte o sistema.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3º PONTO: cumprir ordem judicial sob prazo e cominação não é aquiescência. O gravame da fls. 3435 é novo e autônomo.</w:t>
      </w:r>
    </w:p>
    <w:p>
      <w:pPr>
        <w:ind w:left="680"/>
      </w:pPr>
      <w:r>
        <w:rPr>
          <w:sz w:val="22"/>
        </w:rPr>
        <w:t xml:space="preserve">A petição de fls. 3077 foi ato </w:t>
      </w:r>
      <w:r>
        <w:rPr>
          <w:b/>
          <w:sz w:val="22"/>
        </w:rPr>
        <w:t>devido</w:t>
      </w:r>
      <w:r>
        <w:rPr>
          <w:sz w:val="22"/>
        </w:rPr>
        <w:t xml:space="preserve">: atendimento, no prazo de 10 dias, a ordem que condicionava o prosseguimento da expropriação. O art. 1.000, parágrafo único, do CPC exige ato </w:t>
      </w:r>
      <w:r>
        <w:rPr>
          <w:b/>
          <w:sz w:val="22"/>
        </w:rPr>
        <w:t>espontâneo e incompatível</w:t>
      </w:r>
      <w:r>
        <w:rPr>
          <w:sz w:val="22"/>
        </w:rPr>
        <w:t xml:space="preserve"> com a vontade de recorrer. O próprio Código reconhece a compatibilidade entre cumprimento compulsório e impugnação (art. 520, § 3º). A decisão agravada, por sua vez, </w:t>
      </w:r>
      <w:r>
        <w:rPr>
          <w:b/>
          <w:sz w:val="22"/>
        </w:rPr>
        <w:t>inovou</w:t>
      </w:r>
      <w:r>
        <w:rPr>
          <w:sz w:val="22"/>
        </w:rPr>
        <w:t>:</w:t>
      </w:r>
    </w:p>
    <w:p>
      <w:pPr>
        <w:ind w:left="680"/>
      </w:pPr>
      <w:r>
        <w:rPr>
          <w:sz w:val="22"/>
        </w:rPr>
        <w:t>(i) não conheceu de petição nova;</w:t>
      </w:r>
    </w:p>
    <w:p>
      <w:pPr>
        <w:ind w:left="680"/>
      </w:pPr>
      <w:r>
        <w:rPr>
          <w:sz w:val="22"/>
        </w:rPr>
        <w:t>(ii) qualificou pela primeira vez a fls. 3077 como "anuência expressa";</w:t>
      </w:r>
    </w:p>
    <w:p>
      <w:pPr>
        <w:ind w:left="680"/>
      </w:pPr>
      <w:r>
        <w:rPr>
          <w:sz w:val="22"/>
        </w:rPr>
        <w:t>(iii) atribuiu "capitalização" à memória de fls. 3419, que parte de 05/10/1995 e aplica juros simples.</w:t>
      </w:r>
    </w:p>
    <w:p>
      <w:pPr>
        <w:ind w:left="680"/>
      </w:pPr>
      <w:r>
        <w:rPr>
          <w:sz w:val="22"/>
        </w:rPr>
        <w:t>São fundamentos inéditos, e não mera reiteração.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Registro de boa-fé:</w:t>
      </w:r>
      <w:r>
        <w:rPr>
          <w:sz w:val="22"/>
        </w:rPr>
        <w:t xml:space="preserve"> o único bem penhorado está avaliado em R$ 12,8 milhões, e todo excedente da arrematação será restituído ao devedor. A definição da base </w:t>
      </w:r>
      <w:r>
        <w:rPr>
          <w:b/>
          <w:sz w:val="22"/>
        </w:rPr>
        <w:t>não impede</w:t>
      </w:r>
      <w:r>
        <w:rPr>
          <w:sz w:val="22"/>
        </w:rPr>
        <w:t xml:space="preserve"> o prosseguimento da expropriação. Os agravantes </w:t>
      </w:r>
      <w:r>
        <w:rPr>
          <w:b/>
          <w:sz w:val="22"/>
        </w:rPr>
        <w:t>desistem do pedido "f"</w:t>
      </w:r>
      <w:r>
        <w:rPr>
          <w:sz w:val="22"/>
        </w:rPr>
        <w:t xml:space="preserve"> (sobrestamento) e requerem apenas que o produto de eventual arrematação fique depositado até a definição do </w:t>
      </w:r>
      <w:r>
        <w:rPr>
          <w:i/>
          <w:sz w:val="22"/>
        </w:rPr>
        <w:t>quantum</w:t>
      </w:r>
      <w:r>
        <w:rPr>
          <w:sz w:val="22"/>
        </w:rPr>
        <w:t>.</w:t>
      </w:r>
    </w:p>
    <w:p>
      <w:pPr>
        <w:ind w:left="680"/>
      </w:pPr>
    </w:p>
    <w:p>
      <w:pPr>
        <w:ind w:left="680"/>
      </w:pPr>
      <w:r>
        <w:rPr>
          <w:b/>
          <w:sz w:val="22"/>
        </w:rPr>
        <w:t>Pedido:</w:t>
      </w:r>
      <w:r>
        <w:rPr>
          <w:sz w:val="22"/>
        </w:rPr>
        <w:t xml:space="preserve"> provimento do agravo para (a) reformar a r. decisão de fls. 3435/3437; (b) reconhecer a preclusão da base homologada em 1995 (R$ 5.256.733,85 em 05/10/1995); e (c) determinar que a liquidação na origem parta obrigatoriamente dessa base, com correção pela Tabela Prática e juros legais simples, sem capitalização posterior, nos termos da redação subsidiária abaixo, se Vossas Excelências entenderem necessária a conferência técnica.</w:t>
      </w:r>
    </w:p>
    <w:p>
      <w:pPr>
        <w:ind w:left="680"/>
      </w:pPr>
    </w:p>
    <w:p>
      <w:pPr>
        <w:ind w:left="680"/>
      </w:pPr>
      <w:r>
        <w:rPr>
          <w:sz w:val="22"/>
        </w:rPr>
        <w:t>São Paulo, ___ de ________ de 2026. [Advogado / OAB]</w:t>
      </w:r>
    </w:p>
    <w:p>
      <w:pPr>
        <w:jc w:val="both"/>
      </w:pPr>
      <w:r>
        <w:rPr>
          <w:b/>
        </w:rPr>
        <w:t>Observações operacionais:</w:t>
      </w:r>
    </w:p>
    <w:p>
      <w:pPr>
        <w:pStyle w:val="ListBullet"/>
        <w:ind w:left="454"/>
      </w:pPr>
      <w:r>
        <w:rPr>
          <w:b/>
        </w:rPr>
        <w:t>Sustentação oral.</w:t>
      </w:r>
      <w:r>
        <w:t xml:space="preserve"> O art. 937, VIII, do CPC só a admite em agravo contra decisão sobre </w:t>
      </w:r>
      <w:r>
        <w:rPr>
          <w:b/>
        </w:rPr>
        <w:t>tutela provisória</w:t>
      </w:r>
      <w:r>
        <w:t xml:space="preserve">. Este agravo, que trata de cálculo em execução, provavelmente </w:t>
      </w:r>
      <w:r>
        <w:rPr>
          <w:b/>
        </w:rPr>
        <w:t>não comporta</w:t>
      </w:r>
      <w:r>
        <w:t xml:space="preserve"> sustentação. Priorize: (i) </w:t>
      </w:r>
      <w:r>
        <w:rPr>
          <w:b/>
        </w:rPr>
        <w:t>memorial</w:t>
      </w:r>
      <w:r>
        <w:t xml:space="preserve">; (ii) </w:t>
      </w:r>
      <w:r>
        <w:rPr>
          <w:b/>
        </w:rPr>
        <w:t>despacho pessoal com a Relatora e os vogais</w:t>
      </w:r>
      <w:r>
        <w:t xml:space="preserve">; (iii) acompanhamento da pauta e, se houver inclusão em </w:t>
      </w:r>
      <w:r>
        <w:rPr>
          <w:b/>
        </w:rPr>
        <w:t>julgamento virtual</w:t>
      </w:r>
      <w:r>
        <w:t xml:space="preserve">, avaliar a </w:t>
      </w:r>
      <w:r>
        <w:rPr>
          <w:b/>
        </w:rPr>
        <w:t>oposição</w:t>
      </w:r>
      <w:r>
        <w:t xml:space="preserve"> no prazo regimental, para obter a sessão presencial ou telepresencial e usar a palavra para esclarecimento de fato (conferir a Resolução TJSP nº 549/2011 e o RITJSP vigente).</w:t>
      </w:r>
    </w:p>
    <w:p>
      <w:pPr>
        <w:pStyle w:val="ListBullet"/>
        <w:ind w:left="454"/>
      </w:pPr>
      <w:r>
        <w:rPr>
          <w:b/>
        </w:rPr>
        <w:t>Protocolar o memorial já</w:t>
      </w:r>
      <w:r>
        <w:t>, pois o processo está concluso desde 26/08/2026.</w:t>
      </w:r>
    </w:p>
    <w:p>
      <w:pPr>
        <w:pStyle w:val="Heading3"/>
      </w:pPr>
      <w:r>
        <w:t>B. TESE SUBSIDIÁRIA ESTRATÉGICA: redação proposta para o dispositivo do acórdão</w:t>
      </w:r>
    </w:p>
    <w:p>
      <w:pPr>
        <w:jc w:val="both"/>
      </w:pPr>
      <w:r>
        <w:rPr>
          <w:b/>
        </w:rPr>
        <w:t>Redação principal (perícia a partir do saldo de 1995):</w:t>
      </w:r>
    </w:p>
    <w:p>
      <w:pPr>
        <w:ind w:left="680"/>
      </w:pPr>
      <w:r>
        <w:rPr>
          <w:sz w:val="22"/>
        </w:rPr>
        <w:t xml:space="preserve">"Ante o exposto, </w:t>
      </w:r>
      <w:r>
        <w:rPr>
          <w:b/>
          <w:sz w:val="22"/>
        </w:rPr>
        <w:t>dá-se provimento em parte</w:t>
      </w:r>
      <w:r>
        <w:rPr>
          <w:sz w:val="22"/>
        </w:rPr>
        <w:t xml:space="preserve"> ao recurso para reformar a r. decisão de fls. 3.435/3.437 e, reconhecida a preclusão da conta de liquidação homologada a fls. 152 (23/11/1995), cujo prazo recursal decorreu </w:t>
      </w:r>
      <w:r>
        <w:rPr>
          <w:i/>
          <w:sz w:val="22"/>
        </w:rPr>
        <w:t>in albis</w:t>
      </w:r>
      <w:r>
        <w:rPr>
          <w:sz w:val="22"/>
        </w:rPr>
        <w:t xml:space="preserve"> (certidão de fls. 152v), </w:t>
      </w:r>
      <w:r>
        <w:rPr>
          <w:b/>
          <w:sz w:val="22"/>
        </w:rPr>
        <w:t>determinar</w:t>
      </w:r>
      <w:r>
        <w:rPr>
          <w:sz w:val="22"/>
        </w:rPr>
        <w:t xml:space="preserve"> que a apuração do débito exequendo observe, </w:t>
      </w:r>
      <w:r>
        <w:rPr>
          <w:b/>
          <w:sz w:val="22"/>
        </w:rPr>
        <w:t>obrigatoriamente</w:t>
      </w:r>
      <w:r>
        <w:rPr>
          <w:sz w:val="22"/>
        </w:rPr>
        <w:t xml:space="preserve">, como base de cálculo, o </w:t>
      </w:r>
      <w:r>
        <w:rPr>
          <w:b/>
          <w:sz w:val="22"/>
        </w:rPr>
        <w:t>saldo devedor de R$ 5.256.733,85, posicionado em 05/10/1995</w:t>
      </w:r>
      <w:r>
        <w:rPr>
          <w:sz w:val="22"/>
        </w:rPr>
        <w:t xml:space="preserve"> (fls. 134/137), vedada a retroação ao principal histórico de maio/1987. Para tanto, o MM. Juízo </w:t>
      </w:r>
      <w:r>
        <w:rPr>
          <w:i/>
          <w:sz w:val="22"/>
        </w:rPr>
        <w:t>a quo</w:t>
      </w:r>
      <w:r>
        <w:rPr>
          <w:sz w:val="22"/>
        </w:rPr>
        <w:t xml:space="preserve"> nomeará perito contábil (art. 156, § 1º, do CPC), cujos honorários serão antecipados pelos exequentes (art. 95 do CPC), que observará os seguintes parâmetros:</w:t>
      </w:r>
    </w:p>
    <w:p>
      <w:pPr>
        <w:ind w:left="680"/>
      </w:pPr>
      <w:r>
        <w:rPr>
          <w:sz w:val="22"/>
        </w:rPr>
        <w:t>(i) correção monetária do saldo de 05/10/1995 pela Tabela Prática deste Tribunal;</w:t>
      </w:r>
    </w:p>
    <w:p>
      <w:pPr>
        <w:ind w:left="680"/>
      </w:pPr>
      <w:r>
        <w:rPr>
          <w:sz w:val="22"/>
        </w:rPr>
        <w:t xml:space="preserve">(ii) juros moratórios </w:t>
      </w:r>
      <w:r>
        <w:rPr>
          <w:b/>
          <w:sz w:val="22"/>
        </w:rPr>
        <w:t>simples</w:t>
      </w:r>
      <w:r>
        <w:rPr>
          <w:sz w:val="22"/>
        </w:rPr>
        <w:t>, sem capitalização, incidentes sobre o saldo corrigido, às taxas legais vigentes em cada período (art. 1.062 do CC/1916 até 10/01/2003; art. 406 do CC/2002 até 29/08/2024; art. 406 do CC, com redação da Lei nº 14.905/2024, a partir de 30/08/2024);</w:t>
      </w:r>
    </w:p>
    <w:p>
      <w:pPr>
        <w:ind w:left="680"/>
      </w:pPr>
      <w:r>
        <w:rPr>
          <w:sz w:val="22"/>
        </w:rPr>
        <w:t>(iii) multa contratual de 10% e honorários advocatícios na forma da conta homologada, apurados em rubricas próprias;</w:t>
      </w:r>
    </w:p>
    <w:p>
      <w:pPr>
        <w:ind w:left="680"/>
      </w:pPr>
      <w:r>
        <w:rPr>
          <w:sz w:val="22"/>
        </w:rPr>
        <w:t>(iv) multas por litigância de má-fé fixadas nos AI 2236642-80.2025.8.26.0000 (1% do valor executado) e AI 2353386-61.2025.8.26.0000 (5% do valor atualizado da execução), sobre o valor assim apurado;</w:t>
      </w:r>
    </w:p>
    <w:p>
      <w:pPr>
        <w:ind w:left="680"/>
      </w:pPr>
      <w:r>
        <w:rPr>
          <w:sz w:val="22"/>
        </w:rPr>
        <w:t xml:space="preserve">(v) a conferência da conta de 1995 restringir-se-á a eventual </w:t>
      </w:r>
      <w:r>
        <w:rPr>
          <w:b/>
          <w:sz w:val="22"/>
        </w:rPr>
        <w:t>erro aritmético ou de conversão monetária</w:t>
      </w:r>
      <w:r>
        <w:rPr>
          <w:sz w:val="22"/>
        </w:rPr>
        <w:t>, vedada a revisão dos critérios nela adotados.</w:t>
      </w:r>
    </w:p>
    <w:p>
      <w:pPr>
        <w:ind w:left="680"/>
      </w:pPr>
      <w:r>
        <w:rPr>
          <w:sz w:val="22"/>
        </w:rPr>
        <w:t>Fica mantido o prosseguimento dos atos expropriatórios, devendo o produto de eventual arrematação permanecer depositado em juízo até a homologação do cálculo pericial, na parte que exceder o valor incontroverso."</w:t>
      </w:r>
    </w:p>
    <w:p>
      <w:pPr>
        <w:jc w:val="both"/>
      </w:pPr>
      <w:r>
        <w:rPr>
          <w:b/>
        </w:rPr>
        <w:t>Redação de recuo (se a Câmara se impressionar com o argumento de que o saldo de 1995 contém juros moratórios):</w:t>
      </w:r>
    </w:p>
    <w:p>
      <w:pPr>
        <w:ind w:left="680"/>
      </w:pPr>
      <w:r>
        <w:rPr>
          <w:sz w:val="22"/>
        </w:rPr>
        <w:t xml:space="preserve">"(…) determinar que a apuração </w:t>
      </w:r>
      <w:r>
        <w:rPr>
          <w:b/>
          <w:sz w:val="22"/>
        </w:rPr>
        <w:t>parta da conta homologada a fls. 152</w:t>
      </w:r>
      <w:r>
        <w:rPr>
          <w:sz w:val="22"/>
        </w:rPr>
        <w:t xml:space="preserve">, vedada a retroação a 1987, cabendo ao perito </w:t>
      </w:r>
      <w:r>
        <w:rPr>
          <w:b/>
          <w:sz w:val="22"/>
        </w:rPr>
        <w:t>decompor o saldo de R$ 5.256.733,85</w:t>
      </w:r>
      <w:r>
        <w:rPr>
          <w:sz w:val="22"/>
        </w:rPr>
        <w:t xml:space="preserve"> em (a) capital, compreendendo o principal e os encargos remuneratórios capitalizados na forma da cédula (art. 5º do DL 413/69; Súmula 93/STJ), e (b) juros moratórios computados até 05/10/1995, incidindo os juros legais posteriores exclusivamente sobre a parcela (a), corrigida, e mantida a parcela (b) apenas corrigida monetariamente (…)"</w:t>
      </w:r>
    </w:p>
    <w:p>
      <w:pPr>
        <w:jc w:val="both"/>
      </w:pPr>
      <w:r>
        <w:t xml:space="preserve">Mesmo esse recuo preserva a base de 1995. Como ordem de grandeza, a só correção do saldo de 1995, com multa de 10% e honorários de 20%, já dá </w:t>
      </w:r>
      <w:r>
        <w:rPr>
          <w:b/>
        </w:rPr>
        <w:t>cerca de R$ 44,5 milhões</w:t>
      </w:r>
      <w:r>
        <w:t xml:space="preserve"> (mar/2026), ou seja, </w:t>
      </w:r>
      <w:r>
        <w:rPr>
          <w:b/>
        </w:rPr>
        <w:t>15 vezes</w:t>
      </w:r>
      <w:r>
        <w:t xml:space="preserve"> o valor do executado.</w:t>
      </w:r>
    </w:p>
    <w:p>
      <w:pPr>
        <w:pStyle w:val="Heading3"/>
      </w:pPr>
      <w:r>
        <w:t>C. PROVIDÊNCIAS IMEDIATAS (antes de protocolar o memorial)</w:t>
      </w:r>
    </w:p>
    <w:p>
      <w:pPr>
        <w:pStyle w:val="ListNumber"/>
        <w:ind w:left="454"/>
      </w:pPr>
      <w:r>
        <w:rPr>
          <w:b/>
        </w:rPr>
        <w:t>Auditar a conta de 1995 (fls. 134/137).</w:t>
      </w:r>
      <w:r>
        <w:t xml:space="preserve"> Verificar:</w:t>
      </w:r>
    </w:p>
    <w:p>
      <w:pPr>
        <w:pStyle w:val="ListBullet"/>
        <w:ind w:left="907"/>
      </w:pPr>
      <w:r>
        <w:t>(i) a taxa efetiva nos demais meses (nas oito primeiras linhas já se confirmou 57,18% a.a. nominal, mais 1% a.m. de mora, com capitalização mensal);</w:t>
      </w:r>
    </w:p>
    <w:p>
      <w:pPr>
        <w:pStyle w:val="ListBullet"/>
        <w:ind w:left="907"/>
      </w:pPr>
      <w:r>
        <w:t>(ii) as conversões de moeda: Cz</w:t>
      </w:r>
      <w:r>
        <w:rPr>
          <w:i/>
        </w:rPr>
        <w:t xml:space="preserve"> para NCz</w:t>
      </w:r>
      <w:r>
        <w:t xml:space="preserve"> (jan/1989, ÷1.000), NCz</w:t>
      </w:r>
      <w:r>
        <w:rPr>
          <w:i/>
        </w:rPr>
        <w:t xml:space="preserve"> para Cr</w:t>
      </w:r>
      <w:r>
        <w:t xml:space="preserve"> (mar/1990), Cr</w:t>
      </w:r>
      <w:r>
        <w:rPr>
          <w:i/>
        </w:rPr>
        <w:t xml:space="preserve"> para CR</w:t>
      </w:r>
      <w:r>
        <w:t xml:space="preserve"> (ago/1993, ÷1.000) e CR</w:t>
      </w:r>
      <w:r>
        <w:rPr>
          <w:i/>
        </w:rPr>
        <w:t xml:space="preserve"> para R</w:t>
      </w:r>
      <w:r>
        <w:t xml:space="preserve"> (jul/1994, ÷2.750);</w:t>
      </w:r>
    </w:p>
    <w:p>
      <w:pPr>
        <w:pStyle w:val="ListBullet"/>
        <w:ind w:left="907"/>
      </w:pPr>
      <w:r>
        <w:t>(iii) a coerência entre a taxa de encargos e o rendimento das LBC no período.</w:t>
      </w:r>
    </w:p>
    <w:p>
      <w:pPr>
        <w:jc w:val="both"/>
      </w:pPr>
      <w:r>
        <w:t>Se houver erro aritmético ou de conversão, é melhor que os exequentes o identifiquem e reconheçam antes do executado: é a diferença entre perder a credibilidade e ganhar a da Turma.</w:t>
      </w:r>
    </w:p>
    <w:p>
      <w:pPr>
        <w:pStyle w:val="ListNumber"/>
        <w:ind w:left="454"/>
      </w:pPr>
      <w:r>
        <w:rPr>
          <w:b/>
        </w:rPr>
        <w:t>Obter as imagens originais</w:t>
      </w:r>
      <w:r>
        <w:t xml:space="preserve"> de fls. 52, 54, 129/131 e 133, e confirmar quem impugnou a conta de 1995 e qual o percentual e a base dos honorários.</w:t>
      </w:r>
    </w:p>
    <w:p>
      <w:pPr>
        <w:pStyle w:val="ListNumber"/>
        <w:ind w:left="454"/>
      </w:pPr>
      <w:r>
        <w:rPr>
          <w:b/>
        </w:rPr>
        <w:t>Ler a contraminuta</w:t>
      </w:r>
      <w:r>
        <w:t xml:space="preserve"> (protocolo WPRO.26.01280402-4, de 24/08/2026) e responder às preliminares no memorial, em especial intempestividade reflexa, decisão reiterativa e preclusão lógica.</w:t>
      </w:r>
    </w:p>
    <w:p>
      <w:pPr>
        <w:pStyle w:val="ListNumber"/>
        <w:ind w:left="454"/>
      </w:pPr>
      <w:r>
        <w:rPr>
          <w:b/>
        </w:rPr>
        <w:t>Confirmar a regularidade do preparo em dobro</w:t>
      </w:r>
      <w:r>
        <w:t xml:space="preserve"> (guias de 28/07/2026) e, se necessário, requerer certidão.</w:t>
      </w:r>
    </w:p>
    <w:p>
      <w:pPr>
        <w:pStyle w:val="ListNumber"/>
        <w:ind w:left="454"/>
      </w:pPr>
      <w:r>
        <w:rPr>
          <w:b/>
        </w:rPr>
        <w:t>Corrigir a planilha de fls. 3441/3443</w:t>
      </w:r>
      <w:r>
        <w:t xml:space="preserve"> na origem: juros sobre valor corrigido, multa por má-fé de 1% e não 9%, inclusão da multa de 5%. </w:t>
      </w:r>
      <w:r>
        <w:rPr>
          <w:b/>
        </w:rPr>
        <w:t>Sempre com protesto expresso</w:t>
      </w:r>
      <w:r>
        <w:t xml:space="preserve"> de que se cumpre a ordem sob reserva do agravo.</w:t>
      </w:r>
    </w:p>
    <w:p>
      <w:pPr>
        <w:pStyle w:val="ListNumber"/>
        <w:ind w:left="454"/>
      </w:pPr>
      <w:r>
        <w:rPr>
          <w:b/>
        </w:rPr>
        <w:t>Conferir no SCON e no e-SAJ</w:t>
      </w:r>
      <w:r>
        <w:t xml:space="preserve"> os precedentes marcados "A CONFIRMAR" antes de citá-los: REsp 1.795.982/SP, EAREsp 600.811/SP e precedente específico sobre "cumprimento não é aquiescência".</w:t>
      </w:r>
    </w:p>
    <w:p>
      <w:pPr>
        <w:pStyle w:val="ListNumber"/>
        <w:ind w:left="454"/>
      </w:pPr>
      <w:r>
        <w:rPr>
          <w:b/>
        </w:rPr>
        <w:t>Localizar a resposta dos exequentes à exceção de pré-executividade</w:t>
      </w:r>
      <w:r>
        <w:t>, para provar que a expressão "juros legais de 1% ao mês" se referia ao período pós-1995.</w:t>
      </w:r>
    </w:p>
    <w:p>
      <w:pPr>
        <w:pStyle w:val="Heading3"/>
      </w:pPr>
      <w:r>
        <w:t>AVALIAÇÃO FINAL DE PROGNÓSTICO (franca)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Probabilidade estimada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Fundamento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Provimento integral, com homologação de R$ 185 mi no próprio agravo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Muito baixa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Supressão de instância; posição da própria Relatora no AI 2236642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Provimento parcial para fixar a base de 1995 e devolver à origem com perícia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Possível</w:t>
            </w:r>
            <w:r>
              <w:rPr>
                <w:sz w:val="19"/>
              </w:rPr>
              <w:t>, se o eixo "fls. 3066 extrapolou os embargos e violou o art. 505 e a Súmula 381" for bem apresentado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Seções 1.1.1 e 5-A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Desprovimento por preclusão contra os exequentes (fls. 3066 irrecorrida e fls. 3077 sem ressalva)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Risco relevante</w:t>
            </w:r>
            <w:r>
              <w:rPr>
                <w:sz w:val="19"/>
              </w:rPr>
              <w:t>, hoje o cenário mais provável se o memorial repetir a minuta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Seção 1.1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Não conhecimento (decisão reiterativa ou deserção)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Moderado a baixo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Depende da contraminuta e da certidão do preparo</w:t>
            </w:r>
          </w:p>
        </w:tc>
      </w:tr>
    </w:tbl>
    <w:p/>
    <w:p>
      <w:pPr>
        <w:jc w:val="both"/>
      </w:pPr>
      <w:r>
        <w:rPr>
          <w:i/>
        </w:rPr>
        <w:t>Parecer elaborado com base nos documentos do Drive do usuário e nas pesquisas indicadas. Documentos marcados [TRANSCR.] e precedentes "A CONFIRMAR" devem ser conferidos no original antes de qualquer uso em juízo.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