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Auditoria final — Manifestação sobre a contraminuta v3.16 — AI 2186351-42.2026.8.26.0000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Claude Code — Claude Fable 5.1 (Anthropic) | Data: 30/09/2026 | Hora: 16:50:00 (Brasília) | Chat: Auditoria EPE Ourinhos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Arquivos recebidos: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(1) Claude_v3.16_Manifestacao_AI_2186351-2026_DEFESA.pdf — 18 páginas (folha de controle + 17 de peça; versão de trabalho). (2) Claude_v.3.16_Relacao_Citacoes_AI_2186351-2026_DEFESA1.pdf — 4 páginas. (3) Claude_v3.16_Docs_1a14_AI_2186351-2026.zip — 14 PDFs, 18 páginas.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Não recebido: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o PDF da versão de protocolo (M5); o prompt fala em quatro arquivos, chegaram três. Mesma sessão das auditorias da v3.13, v3.14 e v3.15; a v3.14 e os zips anteriores continuam carregados.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Status de leitura: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Manifestação v3.16: 18 de 18, comparada com a v3.14 por diferença de texto integral. Relação v.3.16: 4 de 4, comparada com a v.3.15. Zip: 18 de 18 páginas, cada uma comparada por assinatura de imagem com o zip v3.15; as duas páginas novas (fls. 200/201 e-SAJ) foram abertas em imagem, com ampliação do canto superior direito; fls. 174 (carimbo de protocolo) e fls. 175 (data) reabertas em imagem. Além disso, a razão "Terceira" foi submetida a um painel de quatro revisores independentes (lentes: advogado do agravado, assessor da Relatora, processualista, auditor de fatos), cujos achados convergentes estão incorporados abaixo.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Primeiro passo.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Tenho todos os documentos. Nenhum julgado ou dispositivo novo. A folha nova (fls. 200/201 e-SAJ) foi lida no doc. 12 do zip. O único precedente que passou a importar, o EAREsp 600.811/SP, está na pasta do Drive e foi conferido no inteiro teor (ementa e acórdão).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T1 — Mudanças M1 a M6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3"/>
        <w:gridCol w:w="1099"/>
        <w:gridCol w:w="8248"/>
      </w:tblGrid>
      <w:tr>
        <w:trPr>
          <w:cantSplit/>
          <w:tblHeader/>
        </w:trPr>
        <w:tc>
          <w:tcPr>
            <w:tcW w:type="dxa" w:w="52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Mudança</w:t>
            </w:r>
          </w:p>
        </w:tc>
        <w:tc>
          <w:tcPr>
            <w:tcW w:type="dxa" w:w="10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Sinal</w:t>
            </w:r>
          </w:p>
        </w:tc>
        <w:tc>
          <w:tcPr>
            <w:tcW w:type="dxa" w:w="82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Conferência</w:t>
            </w:r>
          </w:p>
        </w:tc>
      </w:tr>
      <w:tr>
        <w:trPr>
          <w:cantSplit/>
          <w:tblHeader w:val="false"/>
        </w:trPr>
        <w:tc>
          <w:tcPr>
            <w:tcW w:type="dxa" w:w="52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M1 — Novo doc. 12 (fls. 200/201 e-SAJ)</w:t>
            </w:r>
          </w:p>
        </w:tc>
        <w:tc>
          <w:tcPr>
            <w:tcW w:type="dxa" w:w="10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  <w:tc>
          <w:tcPr>
            <w:tcW w:type="dxa" w:w="82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200: carimbo "3º OF. JUDICIAL FLS. 150"; "CONCLUSÃO em 06 de outubro de 1995"; despacho literal: "Digam as partes sobre o cálculo de liquidação de fls.134/137 e pedido de habilitação de crédito de fls. 138/139. Int. Ourinhos, 06 de outubro 1.995", assinado pelo Juiz José Aparício Coelho Prado Neto; certidão de envio ao D.O.J. em 13/10/1995. fls. 201: sem carimbo; certidão de que o despacho "foi publicado no D.O.J. de 27/10/95" (Raquel Leite Caldara, 30/10/1995); termo de juntada de 16/11/1995. A transcrição da peça confere; "carimbo 150" e "fls. 201 é página sem carimbo" conferem; a data do D.O.J. confere. Inserido na tabela da Seção III (entre a conta retificada e a homologação) e na Seção X.</w:t>
            </w:r>
          </w:p>
        </w:tc>
      </w:tr>
      <w:tr>
        <w:trPr>
          <w:cantSplit/>
          <w:tblHeader w:val="false"/>
        </w:trPr>
        <w:tc>
          <w:tcPr>
            <w:tcW w:type="dxa" w:w="52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M2 — Renumeração</w:t>
            </w:r>
          </w:p>
        </w:tc>
        <w:tc>
          <w:tcPr>
            <w:tcW w:type="dxa" w:w="10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  <w:tc>
          <w:tcPr>
            <w:tcW w:type="dxa" w:w="82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Seção III: homologação = "doc. 13", certidão = "doc. 14"; Seção VI: "docs. 13 e 14"; Seção X: linhas 12 (fls. 200/201), 13 (fls. 203), 14 (fls. 204); "os documentos 7 a 14"; pedido (a): "catorze documentos". Nenhuma marca "doc. N" aponta para documento errado.</w:t>
            </w:r>
          </w:p>
        </w:tc>
      </w:tr>
      <w:tr>
        <w:trPr>
          <w:cantSplit/>
          <w:tblHeader w:val="false"/>
        </w:trPr>
        <w:tc>
          <w:tcPr>
            <w:tcW w:type="dxa" w:w="52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M3 — Doc. 10, data do protocolo</w:t>
            </w:r>
          </w:p>
        </w:tc>
        <w:tc>
          <w:tcPr>
            <w:tcW w:type="dxa" w:w="10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  <w:tc>
          <w:tcPr>
            <w:tcW w:type="dxa" w:w="82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174: carimbo de protocolo "9 MAR (…) 11:14 (…) 004907"; o ano não é legível no carimbo, mas a sequência dos autos o fixa em 1995 (vista da 1ª conta em 08/02/1995, fls. 169; remessa ao contador em 23/03/1995 "considerando a impugnação de fls. 129/130", fls. 178 e-SAJ). fls. 175: data datilografada "de março de 1994" (dia encoberto pela assinatura). Redação da Seção III e da Seção X conforme o descrito.</w:t>
            </w:r>
          </w:p>
        </w:tc>
      </w:tr>
      <w:tr>
        <w:trPr>
          <w:cantSplit/>
          <w:tblHeader w:val="false"/>
        </w:trPr>
        <w:tc>
          <w:tcPr>
            <w:tcW w:type="dxa" w:w="52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M4 — Razão "Terceira"</w:t>
            </w:r>
          </w:p>
        </w:tc>
        <w:tc>
          <w:tcPr>
            <w:tcW w:type="dxa" w:w="10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🟥</w:t>
            </w:r>
          </w:p>
        </w:tc>
        <w:tc>
          <w:tcPr>
            <w:tcW w:type="dxa" w:w="82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Texto conferido com o prompt, parênteses duplos eliminados. O acréscimo (a), sobre a vista, é factual (doc. 12). A frase final nova (b) cria flanco grave: ver achados 1 a 3.</w:t>
            </w:r>
          </w:p>
        </w:tc>
      </w:tr>
      <w:tr>
        <w:trPr>
          <w:cantSplit/>
          <w:tblHeader w:val="false"/>
        </w:trPr>
        <w:tc>
          <w:tcPr>
            <w:tcW w:type="dxa" w:w="52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M5 — Versão de protocolo</w:t>
            </w:r>
          </w:p>
        </w:tc>
        <w:tc>
          <w:tcPr>
            <w:tcW w:type="dxa" w:w="10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82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Não verificável: o PDF de protocolo não foi enviado.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 No PDF de trabalho recebido: a folha de controle é a página 1 e é a única com "Claude", "Anthropic", "Opus", "Versão" e "folha de controle" (as ocorrências de "IA" nas páginas 2 e 14 são falsos positivos: "OLIVEIRA", "LITIGÂNCIA"); o corpo da peça (páginas 2 a 18) não traz nenhuma dessas menções; metadados: autor "python-docx", criador e produtor "Microsoft Word 2013"; fontes Verdana. Antes do protocolo, conferir no PDF final: 17 páginas (sem a folha de controle), autor "José Maria Barbosa — OAB/SP 198.476", campos Creator/Producer vazios ou neutros, e nenhuma ocorrência de "Claude", "Anthropic", "Opus", "python-docx".</w:t>
            </w:r>
          </w:p>
        </w:tc>
      </w:tr>
      <w:tr>
        <w:trPr>
          <w:cantSplit/>
          <w:tblHeader w:val="false"/>
        </w:trPr>
        <w:tc>
          <w:tcPr>
            <w:tcW w:type="dxa" w:w="52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M6 — Relação v.3.16</w:t>
            </w:r>
          </w:p>
        </w:tc>
        <w:tc>
          <w:tcPr>
            <w:tcW w:type="dxa" w:w="10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  <w:tc>
          <w:tcPr>
            <w:tcW w:type="dxa" w:w="82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Nota de versão; item 16 com "vista às partes da conta retificada, 'Digam as partes sobre o cálculo de liquidação de fls. 134/137', publicada no D.O.J. de 27/10/1995 (fls. 200/201 e-SAJ, carimbo 150)"; "docs. 7 a 14"; "documentos 1 a 14". Legislação igual à v.3.15.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T2 — Regressão (v3.14 → v3.16)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Diferenças de texto: folha de controle; Seção III, tabela (linha do doc. 10 com a nota da data — M3; linha nova do doc. 12 — M1; renumeração 13/14 — M2); Seção VI, razão "Terceira" (M4); Seção X (intro "7 a 14", linha do doc. 10, linhas 12/13/14 — M1 a M3); pedido (a) "catorze" (M2); pedido (e) (acréscimo da v3.15, já conferido). Nada mais mudou. Nenhum parêntese duplo. Data: 30/09/2026.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Tabela de achados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4"/>
        <w:gridCol w:w="384"/>
        <w:gridCol w:w="2260"/>
        <w:gridCol w:w="2885"/>
        <w:gridCol w:w="2885"/>
        <w:gridCol w:w="2885"/>
        <w:gridCol w:w="2887"/>
      </w:tblGrid>
      <w:tr>
        <w:trPr>
          <w:cantSplit/>
          <w:tblHeader/>
        </w:trPr>
        <w:tc>
          <w:tcPr>
            <w:tcW w:type="dxa" w:w="3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#</w:t>
            </w:r>
          </w:p>
        </w:tc>
        <w:tc>
          <w:tcPr>
            <w:tcW w:type="dxa" w:w="3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Sinal</w:t>
            </w:r>
          </w:p>
        </w:tc>
        <w:tc>
          <w:tcPr>
            <w:tcW w:type="dxa" w:w="2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Local</w:t>
            </w:r>
          </w:p>
        </w:tc>
        <w:tc>
          <w:tcPr>
            <w:tcW w:type="dxa" w:w="28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Trecho exato</w:t>
            </w:r>
          </w:p>
        </w:tc>
        <w:tc>
          <w:tcPr>
            <w:tcW w:type="dxa" w:w="28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Falha</w:t>
            </w:r>
          </w:p>
        </w:tc>
        <w:tc>
          <w:tcPr>
            <w:tcW w:type="dxa" w:w="28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Prova</w:t>
            </w:r>
          </w:p>
        </w:tc>
        <w:tc>
          <w:tcPr>
            <w:tcW w:type="dxa" w:w="28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Correção proposta</w:t>
            </w:r>
          </w:p>
        </w:tc>
      </w:tr>
      <w:tr>
        <w:trPr>
          <w:cantSplit/>
          <w:tblHeader w:val="false"/>
        </w:trPr>
        <w:tc>
          <w:tcPr>
            <w:tcW w:type="dxa" w:w="3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🟥</w:t>
            </w:r>
          </w:p>
        </w:tc>
        <w:tc>
          <w:tcPr>
            <w:tcW w:type="dxa" w:w="2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Seção VI, razão "Terceira", duas últimas frases</w:t>
            </w:r>
          </w:p>
        </w:tc>
        <w:tc>
          <w:tcPr>
            <w:tcW w:type="dxa" w:w="28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"Uma decisão posterior que a contraria não se estabiliza contra a anterior: é ela a reapreciação vedada pelo art. 505 do CPC. Se a preclusão alcançasse alguma das duas decisões, alcançaria a de 2025, e não a de 1995, que a precedeu e que ela não revogou (razões Primeira e Segunda)."</w:t>
            </w:r>
          </w:p>
        </w:tc>
        <w:tc>
          <w:tcPr>
            <w:tcW w:type="dxa" w:w="28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(i) No jargão forense, inclusive o da decisão agravada ("acobertada pelo manto da preclusão", fls. 3436 e-SAJ), "decisão alcançada pela preclusão" é a decisão que se estabilizou. Lida assim, a frase nova confessa a tese da contraminuta e do voto simulado: a de 2025 é a preclusa. Os quatro revisores independentes leram a frase desse modo. (ii) A frase erige a anterioridade em critério de prevalência entre decisões estáveis, o oposto da tese da Corte Especial do STJ: "No conflito entre sentenças, prevalece aquela que por último transitou em julgado, enquanto não desconstituída mediante Ação Rescisória" (EAREsp 600.811/SP, Corte Especial, Rel. Min. Og Fernandes, j. 04/12/2019, DJe 07/02/2020, ementa, item 2). A frase anterior ("não se estabiliza contra a anterior"), que eu mesmo propus na auditoria da v3.5 e está na peça desde a v3.7, tem o mesmo defeito e fica exposta pelo acréscimo. (iii) A "Terceira" abre com hipótese concessiva ("Ainda que se atribuísse ao item 2 de fls. 3066 o alcance de afastar a conta de 1995") e fecha negando-a ("que ela não revogou"): contradição interna, e "não revogou" ignora a revogação tácita por incompatibilidade, leitura que a decisão agravada adota (fls. 3436: o saldo de 1995 "já continha juros moratórios e encargos") e que a planilha de fls. 3077/3078, apresentada a partir de 1987, parece confirmar. A remissão à "Segunda" é imprecisa: ela trata de contraditório e aceitação tácita, não de revogação.</w:t>
            </w:r>
          </w:p>
        </w:tc>
        <w:tc>
          <w:tcPr>
            <w:tcW w:type="dxa" w:w="28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fls. 3436 e-SAJ (física: n/d); fls. 3077/3078 e-SAJ; EAREsp 600.811/SP (pasta do Drive, inteiro teor, p. 1/2 e acórdão); painel de quatro revisores (4 de 4: "ajustar"; 4 de 4 com achado de gravidade alta nesta frase)</w:t>
            </w:r>
          </w:p>
        </w:tc>
        <w:tc>
          <w:tcPr>
            <w:tcW w:type="dxa" w:w="28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Substituir as duas frases por: "A preclusão que a contraminuta invoca é a perda, pelos exequentes, da faculdade de agravar de fls. 3066 (art. 1.015, parágrafo único, do CPC). Ela não confere àquela interlocutória autoridade para substituir a homologação de 1995, que a precedeu, que ela não examinou nem mencionou (razão Primeira) e cuja reapreciação o art. 505 do CPC vedava ao juízo. Não há aqui duas decisões estáveis em conflito: há uma decisão homologatória, proferida em cumprimento da sentença de 1991 e nunca impugnada, e uma interlocutória posterior que silenciou sobre ela." Se o Dr. José Maria preferir enfrentar o precedente de frente, acrescentar: "A regra de prevalência da decisão que por último transitou em julgado (STJ, EAREsp 600.811/SP, Corte Especial, j. 04/12/2019) pressupõe duas sentenças de mérito em conflito, o que não é o caso." Recomendo a primeira versão, sem a citação: não abre o tema.</w:t>
            </w:r>
          </w:p>
        </w:tc>
      </w:tr>
      <w:tr>
        <w:trPr>
          <w:cantSplit/>
          <w:tblHeader w:val="false"/>
        </w:trPr>
        <w:tc>
          <w:tcPr>
            <w:tcW w:type="dxa" w:w="3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2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Seção VI, razão "Terceira"</w:t>
            </w:r>
          </w:p>
        </w:tc>
        <w:tc>
          <w:tcPr>
            <w:tcW w:type="dxa" w:w="28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"a primeira decisão que delimitou o cálculo é a homologação de 1995"</w:t>
            </w:r>
          </w:p>
        </w:tc>
        <w:tc>
          <w:tcPr>
            <w:tcW w:type="dxa" w:w="28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Pelo critério da anterioridade, a primeira decisão sobre o cálculo é a sentença de 1991, que afirmou que "o contrato exeqüendo não contempla tal anomalia" (fls. 2176/2178 e-SAJ, doc. 5); o agravado inverterá a régua: a conta de 1995 (capitalização mensal, fls. 181/183, doc. 11) seria a decisão posterior que contraria a anterior, e fls. 3066 a teria restaurado. O parágrafo seguinte, aliás, já diz que a fixação anterior é "a da sentença de 1991 e a da homologação de 1995".</w:t>
            </w:r>
          </w:p>
        </w:tc>
        <w:tc>
          <w:tcPr>
            <w:tcW w:type="dxa" w:w="28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Doc. 5 (fls. 2178 e-SAJ, carimbo 170 dos embargos); doc. 11 (fls. 180/183 e-SAJ, carimbo 134/137); painel (3 de 4 revisores)</w:t>
            </w:r>
          </w:p>
        </w:tc>
        <w:tc>
          <w:tcPr>
            <w:tcW w:type="dxa" w:w="28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"a decisão que delimitou o cálculo, em cumprimento da sentença de 1991 e do acórdão de 1993, é a homologação de 1995" (suprimir "primeira").</w:t>
            </w:r>
          </w:p>
        </w:tc>
      </w:tr>
      <w:tr>
        <w:trPr>
          <w:cantSplit/>
          <w:tblHeader w:val="false"/>
        </w:trPr>
        <w:tc>
          <w:tcPr>
            <w:tcW w:type="dxa" w:w="3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2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Seção VI, razão "Terceira", acréscimo (a)</w:t>
            </w:r>
          </w:p>
        </w:tc>
        <w:tc>
          <w:tcPr>
            <w:tcW w:type="dxa" w:w="28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"proferida depois de as partes terem tido vista da conta retificada (fls. 200/201 e-SAJ, carimbo 150 — doc. 12)"</w:t>
            </w:r>
          </w:p>
        </w:tc>
        <w:tc>
          <w:tcPr>
            <w:tcW w:type="dxa" w:w="28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(i) A referência de folhas fica presa a "conta retificada", que está em fls. 180/183 e-SAJ; em fls. 200/201 está o despacho de vista e a certidão de publicação. (ii) O documento prova a ordem de vista "às partes" e a publicação; não prova que a publicação nomeou o advogado do executado (o D.O.J. de 27/10/1995 não está nos autos), e a homologação registra só o silêncio do exequente (fls. 203: "sobre a qual não se manifestou o exequente"). "Terem tido vista" afirma um pouco mais do que o doc. 12 prova.</w:t>
            </w:r>
          </w:p>
        </w:tc>
        <w:tc>
          <w:tcPr>
            <w:tcW w:type="dxa" w:w="28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Doc. 12 (fls. 200/201 e-SAJ); doc. 13 (fls. 203 e-SAJ, carimbo 152); painel (3 de 4 revisores)</w:t>
            </w:r>
          </w:p>
        </w:tc>
        <w:tc>
          <w:tcPr>
            <w:tcW w:type="dxa" w:w="28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"proferida depois de o juízo ordenar vista a ambas as partes da conta retificada de fls. 180/183 e-SAJ ('Digam as partes sobre o cálculo de liquidação de fls. 134/137', despacho de 06/10/1995, publicado no D.O.J. de 27/10/1995 — fls. 200/201 e-SAJ, carimbo 150, doc. 12), sem que nenhuma delas a impugnasse,"</w:t>
            </w:r>
          </w:p>
        </w:tc>
      </w:tr>
      <w:tr>
        <w:trPr>
          <w:cantSplit/>
          <w:tblHeader w:val="false"/>
        </w:trPr>
        <w:tc>
          <w:tcPr>
            <w:tcW w:type="dxa" w:w="3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2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Versão de protocolo (M5)</w:t>
            </w:r>
          </w:p>
        </w:tc>
        <w:tc>
          <w:tcPr>
            <w:tcW w:type="dxa" w:w="28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8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Não enviada; ver T1, M5.</w:t>
            </w:r>
          </w:p>
        </w:tc>
        <w:tc>
          <w:tcPr>
            <w:tcW w:type="dxa" w:w="28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8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Enviar o PDF de protocolo para conferência de texto, paginação e metadados, ou fazer a conferência local pela lista de T1, M5.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T3 — Versão de protocolo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Só o PDF de trabalho foi recebido. Nele, o corpo da peça não contém "Claude", "Anthropic", "IA", "Opus", "versão" nem "folha de controle" (todas as ocorrências estão na página 1, que é a folha de controle); os metadados e as fontes são os da versão de trabalho (autor "python-docx"; Word 2013; Verdana). A paginação do corpo (17 páginas, A4, margens regulares, tabelas sem corte de linha entre páginas na Seção X) é adequada ao e-SAJ. A conferência da versão de protocolo (texto idêntico, sem a página 1, metadados trocados) fica pendente.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T4 — Anexos do zip v3.16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3"/>
        <w:gridCol w:w="2780"/>
        <w:gridCol w:w="1148"/>
        <w:gridCol w:w="3627"/>
        <w:gridCol w:w="1632"/>
        <w:gridCol w:w="2418"/>
        <w:gridCol w:w="1995"/>
        <w:gridCol w:w="487"/>
      </w:tblGrid>
      <w:tr>
        <w:trPr>
          <w:cantSplit/>
          <w:tblHeader/>
        </w:trPr>
        <w:tc>
          <w:tcPr>
            <w:tcW w:type="dxa" w:w="4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Doc.</w:t>
            </w:r>
          </w:p>
        </w:tc>
        <w:tc>
          <w:tcPr>
            <w:tcW w:type="dxa" w:w="2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Arquivo</w:t>
            </w:r>
          </w:p>
        </w:tc>
        <w:tc>
          <w:tcPr>
            <w:tcW w:type="dxa" w:w="11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Páginas</w:t>
            </w:r>
          </w:p>
        </w:tc>
        <w:tc>
          <w:tcPr>
            <w:tcW w:type="dxa" w:w="36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e-SAJ</w:t>
            </w:r>
          </w:p>
        </w:tc>
        <w:tc>
          <w:tcPr>
            <w:tcW w:type="dxa" w:w="16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Carimbo</w:t>
            </w:r>
          </w:p>
        </w:tc>
        <w:tc>
          <w:tcPr>
            <w:tcW w:type="dxa" w:w="2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Comparação</w:t>
            </w:r>
          </w:p>
        </w:tc>
        <w:tc>
          <w:tcPr>
            <w:tcW w:type="dxa" w:w="19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Seção X e "doc. N"</w:t>
            </w:r>
          </w:p>
        </w:tc>
        <w:tc>
          <w:tcPr>
            <w:tcW w:type="dxa" w:w="4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Sinal</w:t>
            </w:r>
          </w:p>
        </w:tc>
      </w:tr>
      <w:tr>
        <w:trPr>
          <w:cantSplit/>
          <w:tblHeader w:val="false"/>
        </w:trPr>
        <w:tc>
          <w:tcPr>
            <w:tcW w:type="dxa" w:w="4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a 11</w:t>
            </w:r>
          </w:p>
        </w:tc>
        <w:tc>
          <w:tcPr>
            <w:tcW w:type="dxa" w:w="2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 01 a Doc 11</w:t>
            </w:r>
          </w:p>
        </w:tc>
        <w:tc>
          <w:tcPr>
            <w:tcW w:type="dxa" w:w="11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cada (doc. 11: 4)</w:t>
            </w:r>
          </w:p>
        </w:tc>
        <w:tc>
          <w:tcPr>
            <w:tcW w:type="dxa" w:w="36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2144, 2148, 2150, 2154, 2178, 2184, 164, 165, 169, 174, 180/183</w:t>
            </w:r>
          </w:p>
        </w:tc>
        <w:tc>
          <w:tcPr>
            <w:tcW w:type="dxa" w:w="16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conforme auditoria da v3.13</w:t>
            </w:r>
          </w:p>
        </w:tc>
        <w:tc>
          <w:tcPr>
            <w:tcW w:type="dxa" w:w="2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idênticos, página a página, ao zip v3.15</w:t>
            </w:r>
          </w:p>
        </w:tc>
        <w:tc>
          <w:tcPr>
            <w:tcW w:type="dxa" w:w="19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sim</w:t>
            </w:r>
          </w:p>
        </w:tc>
        <w:tc>
          <w:tcPr>
            <w:tcW w:type="dxa" w:w="4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4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 12 - Vista da conta retificada fls 200-201</w:t>
            </w:r>
          </w:p>
        </w:tc>
        <w:tc>
          <w:tcPr>
            <w:tcW w:type="dxa" w:w="11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6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200, 201</w:t>
            </w:r>
          </w:p>
        </w:tc>
        <w:tc>
          <w:tcPr>
            <w:tcW w:type="dxa" w:w="16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150; fls. 201 sem carimbo</w:t>
            </w:r>
          </w:p>
        </w:tc>
        <w:tc>
          <w:tcPr>
            <w:tcW w:type="dxa" w:w="2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páginas novas, lidas em imagem</w:t>
            </w:r>
          </w:p>
        </w:tc>
        <w:tc>
          <w:tcPr>
            <w:tcW w:type="dxa" w:w="19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sim (Seções III, VI e X: doc. 12)</w:t>
            </w:r>
          </w:p>
        </w:tc>
        <w:tc>
          <w:tcPr>
            <w:tcW w:type="dxa" w:w="4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4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 13 - Homologacao da conta fls 203</w:t>
            </w:r>
          </w:p>
        </w:tc>
        <w:tc>
          <w:tcPr>
            <w:tcW w:type="dxa" w:w="11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6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203</w:t>
            </w:r>
          </w:p>
        </w:tc>
        <w:tc>
          <w:tcPr>
            <w:tcW w:type="dxa" w:w="16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152</w:t>
            </w:r>
          </w:p>
        </w:tc>
        <w:tc>
          <w:tcPr>
            <w:tcW w:type="dxa" w:w="2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idêntico ao antigo Doc 12</w:t>
            </w:r>
          </w:p>
        </w:tc>
        <w:tc>
          <w:tcPr>
            <w:tcW w:type="dxa" w:w="19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sim (docs. 13)</w:t>
            </w:r>
          </w:p>
        </w:tc>
        <w:tc>
          <w:tcPr>
            <w:tcW w:type="dxa" w:w="4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  <w:tr>
        <w:trPr>
          <w:cantSplit/>
          <w:tblHeader w:val="false"/>
        </w:trPr>
        <w:tc>
          <w:tcPr>
            <w:tcW w:type="dxa" w:w="4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Doc 14 - Certidao decurso de prazo fls 204</w:t>
            </w:r>
          </w:p>
        </w:tc>
        <w:tc>
          <w:tcPr>
            <w:tcW w:type="dxa" w:w="11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6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204</w:t>
            </w:r>
          </w:p>
        </w:tc>
        <w:tc>
          <w:tcPr>
            <w:tcW w:type="dxa" w:w="16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sem carimbo</w:t>
            </w:r>
          </w:p>
        </w:tc>
        <w:tc>
          <w:tcPr>
            <w:tcW w:type="dxa" w:w="24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idêntico ao antigo Doc 13</w:t>
            </w:r>
          </w:p>
        </w:tc>
        <w:tc>
          <w:tcPr>
            <w:tcW w:type="dxa" w:w="19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sim (doc. 14)</w:t>
            </w:r>
          </w:p>
        </w:tc>
        <w:tc>
          <w:tcPr>
            <w:tcW w:type="dxa" w:w="4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</w:tr>
    </w:tbl>
    <w:p>
      <w:pPr>
        <w:spacing w:after="120"/>
      </w:pP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Total: 14 arquivos, 18 páginas. Nada falta, nada sobra.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T5 — Mérito de M4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Respondido nos achados 1 a 3. Em síntese: o acréscimo (a) é factual e fortalece a peça (o executado teve a oportunidade de impugnar a conta retificada e não a usou), com dois retoques de redação; a frase final (b) deve sair, porque (i) na leitura natural admite que a decisão preclusa é a de 2025, (ii) funda a prevalência na anterioridade, critério que a Corte Especial do STJ rejeita para decisões estáveis, e (iii) contradiz a hipótese concessiva com que a própria "Terceira" começa. A frase que a antecede, de minha autoria, cai junto.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Veredito: v3.16 NÃO LIBERADA — corrigir o item nº 1 (obrigatório) e os itens nº 2 e 3 (recomendados); conferir a versão de protocolo (item nº 4) antes do envio.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Feitas essas trocas, não há outro ponto aberto: a v3.17 pode ser conferida só por diferença de texto.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Itens que não pude verificar: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(i) o PDF da versão de protocolo (não enviado); (ii) se a publicação do D.O.J. de 27/10/1995 nomeou o advogado do executado (o D.O.J. não está nos autos; a certidão de fls. 201 só atesta a publicação); (iii) o ano no carimbo de protocolo de fls. 174, ilegível na imagem, fixado por inferência da sequência processual.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Páginas lidas: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Manifestação v3.16: 18 de 18. Relação v.3.16: 4 de 4. Zip: 18 de 18 (14 arquivos). EAREsp 600.811/SP: ementa, acórdão e trechos do voto (p. 1/2 e busca no inteiro teor).</w:t>
      </w:r>
    </w:p>
    <w:sectPr>
      <w:headerReference w:type="default" r:id="rId7"/>
      <w:footerReference w:type="default" r:id="rId8"/>
      <w:pgSz w:w="16838" w:h="11906" w:orient="landscape"/>
      <w:pgMar w:top="1701" w:right="1134" w:bottom="1134" w:left="1134" w:header="709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Documento de trabalho — uso restrito da parte e de seu advogado   |   Página </w:t>
    </w: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 de </w:t>
    </w: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2"/>
      </w:pBdr>
      <w:jc w:val="right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Auditoria final — Manifestação sobre a contraminuta v3.16 — AI nº 2186351-42.2026.8.26.0000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  <w:lvl w:ilvl="2" w15:tentative="1">
      <w:start w:val="1"/>
      <w:numFmt w:val="bullet"/>
      <w:lvlText w:val="▪"/>
      <w:lvlJc w:val="left"/>
      <w:pPr>
        <w:ind w:left="1701" w:hanging="283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2"/>
      </w:pBdr>
      <w:spacing w:after="180" w:before="360"/>
      <w:outlineLvl w:val="0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Parecer de Auditoria Jurídico-Processual — AI 2186351-42.2026.8.26.0000</dc:title>
  <dc:creator>Parecer técnico</dc:creator>
  <cp:lastModifiedBy>Un-named</cp:lastModifiedBy>
  <cp:revision>1</cp:revision>
  <dcterms:created xsi:type="dcterms:W3CDTF">2026-09-30T19:50:07.864Z</dcterms:created>
  <dcterms:modified xsi:type="dcterms:W3CDTF">2026-09-30T19:50:07.872Z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