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7654"/>
            <w:shd w:val="clear" w:color="auto" w:fill="D9D9D9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Documento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ROTEIRO DO CALCULISTA v2: planilha retificada pela metodologia de fls. 3066 (Parte B), com conferências prévias (Parte A)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Autoria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Claude Code (Anthropic) — modelo Opus 5.5 — grupo DEFESA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Data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22/10/2026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Versão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2.0. Substitui o Roteiro v1 (28/09/2026). Incorpora a auditoria v1.1, a análise do Dossiê v4.2 e o Dossiê Jurídico v2.1 (01/10/2026).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Processo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Execução 0000001-82.1987.8.26.0408 (antigo 841/87) — 3ª Vara Cível de Ourinhos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Uso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A Parte A é interna (Marcos e Dr. José Maria). A Parte B é a que se envia ao calculista: pode ser copiada sozinha.</w:t>
            </w:r>
          </w:p>
        </w:tc>
      </w:tr>
    </w:tbl>
    <w:p/>
    <w:p>
      <w:pPr>
        <w:pStyle w:val="Heading1"/>
      </w:pPr>
      <w:r>
        <w:t>PARTE A — Conferências pedidas (uso interno)</w:t>
      </w:r>
    </w:p>
    <w:p>
      <w:pPr>
        <w:pStyle w:val="Heading2"/>
      </w:pPr>
      <w:r>
        <w:t>A.1 Habilitação do Bradesco de 1995 — fls. 185/186 e-SAJ / fls. 138/139 física (lidas na imagem)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Ponto</w:t>
            </w:r>
          </w:p>
        </w:tc>
        <w:tc>
          <w:tcPr>
            <w:tcW w:type="dxa" w:w="7654"/>
            <w:shd w:val="clear" w:color="auto" w:fill="D9D9D9"/>
          </w:tcPr>
          <w:p>
            <w:r>
              <w:rPr>
                <w:b/>
              </w:rPr>
              <w:t>O que a folha diz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Data e subscritor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Assis, 16/08/1995. Adv. Sergio Augusto Frederico, OAB/SP 80.246 (fls. 186 e-SAJ / fls. 139 física).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Devedor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Só SERGIO BUENO PEREIRA DA CUNHA: "nos autos da Ação de Execução que o BANESPA (...) move face a SERGIO BUENO PEREIRA DA CUNHA" (fls. 185 / 138). A Chavantes Agropecuária não é citada.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Natureza do crédito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Crédito sem garantia real: o Bradesco é credor em quatro execuções da 1ª Vara Cível de Ourinhos ("Feito nº 265/89; 1.285/88; 1.941/88; 1.559/88"), com penhoras do imóvel de "matrícula 9.656, do C.R.I. de Ourinhos/SP" feitas em "20/04/89, 11/07/89, 11/07/89 e 30/09/94" (fls. 185 / 138, itens I e II).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Valor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NÃO INFORMADO. A petição não indica valor algum.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Preferência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O próprio Bradesco reconhece a preferência do credor hipotecário. Item III: "este bem imóvel encontra-se hipotecado ao BANESPA". Item IV: "habilitar os créditos (...) ressalvando-se a preferência do credor hipotecário, que após ter seus haveres satisfeitos, o montante restante seja posto à disposição da satisfação dos créditos do requerente" (fls. 186 / 139).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Decisão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Deferida em 23/11/1995: "defiro (...) a habilitação pleiteada a fls. 138/139, (...) aguardando-se futura arrematação do bem penhorado, caso haja, oportunidade em que será analisada a possibilidade de satisfação do seu credito" (fls. 203 e-SAJ / fls. 152 física).</w:t>
            </w:r>
          </w:p>
        </w:tc>
      </w:tr>
    </w:tbl>
    <w:p/>
    <w:p>
      <w:pPr>
        <w:pStyle w:val="Heading2"/>
      </w:pPr>
      <w:r>
        <w:t>A.2 Habilitação do Bradesco de 2025 — fls. 3135/3138 e-SAJ / física: n/d (lida no texto do 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Ponto</w:t>
            </w:r>
          </w:p>
        </w:tc>
        <w:tc>
          <w:tcPr>
            <w:tcW w:type="dxa" w:w="7654"/>
            <w:shd w:val="clear" w:color="auto" w:fill="D9D9D9"/>
          </w:tcPr>
          <w:p>
            <w:r>
              <w:rPr>
                <w:b/>
              </w:rPr>
              <w:t>O que a folha diz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Protocolo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02/10/2025, 11h17, nº WORN25700705257. Advogadas: Neide Salvato Giraldi (OAB/SP 165.231) e Érica Takizawa Taira (OAB/SP 276.777). Fundamento citado: arts. 687, 797 e 908 do CPC.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Devedor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Só o ESPÓLIO DE SÉRGIO BUENO PEREIRA DA CUNHA, "proprietário do imóvel objeto da matrícula nº 4.893" do CRI de Chavantes (fls. 3135).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Valor (fls. 3136)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1. Proc. 0000016-17.1988.8.26.0408: principal R$ 492.555,81 + honorários R$ 49.255,58 = R$ 541.811,39 (penhora averbada na "Av.1, c e Av. 3").</w:t>
              <w:br/>
              <w:t>2. Proc. 0000003-18.1988.8.26.0408: R$ 324.235,03 + R$ 32.423,50 = R$ 356.658,53 ("Av.1, b").</w:t>
              <w:br/>
              <w:t>3. Proc. 0000007-21.1989.8.26.0408: R$ 87.788,42 + R$ 8.778,84 = R$ 96.567,26 ("penhora de 2 (dois) alqueires, conforme termo"; a petição não diz que está averbada).</w:t>
              <w:br/>
              <w:t>TOTAL: R$ 995.037,18, sendo R$ 904.579,26 de principal e R$ 90.457,92 de honorários (soma conferida).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Natureza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Créditos garantidos por penhora, sem hipoteca. A petição fala em "resguardar o direito de preferência do credor e seu patrono" e pede reserva "observada a ordem legal de preferência" (fls. 3136/3137).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Divergência com 1995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Em 1995 eram 4 execuções; em 2025 são 3, com numeração nova. Não há como ligar os números antigos (265/89, 1.285/88, 1.941/88, 1.559/88) aos novos sem consultar o e-SAJ. Pelo menos uma execução de 1995 não aparece em 2025: verificar se foi extinta.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Decisão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Deferida em 31/10/2025, "ressalvando-se a análise da ordem de preferência e eventual reserva sobre o produto da arrematação para o momento do concurso de credores" (fls. 3282 e-SAJ / física: n/d).</w:t>
            </w:r>
          </w:p>
        </w:tc>
      </w:tr>
    </w:tbl>
    <w:p/>
    <w:p>
      <w:pPr>
        <w:pStyle w:val="Heading2"/>
      </w:pPr>
      <w:r>
        <w:t>A.3 Matrícula e preferência — edital de fls. 3229/3232 e-SAJ / física: n/d (liberado em 13/10/2025)</w:t>
      </w:r>
    </w:p>
    <w:p>
      <w:pPr>
        <w:pStyle w:val="ListBullet"/>
      </w:pPr>
      <w:r>
        <w:t>Mesmo imóvel, confirmado: "MATRÍCULA Nº 4.893 (antiga 9.656) DO CARTÓRIO DE REGISTRO DE IMÓVEIS DA COMARCA DE CHAVANTES/SP" (fls. 3231/3232). Portanto, as penhoras de 1989/1994 sobre a 9.656 e as atuais sobre a 4.893 recaem sobre o mesmo bem.</w:t>
      </w:r>
    </w:p>
    <w:p>
      <w:pPr>
        <w:pStyle w:val="ListBullet"/>
      </w:pPr>
      <w:r>
        <w:t>Ônus listados no edital: "Consta na Av.01 desta matrícula a) que o imóvel foi dado em hipoteca ao BANCO DO ESTADO DE SÃO PAULO S/A (atual BANCO SANTANDER BRASIL S.A). b) (...) Processo nº 1.941/88 (...) foi penhorado (...). c) (...) Processo nº 1.285/88 (...) foi penhorado". O edital também registra: "Consta as fls.134 dos autos da carta precatória que BANCO SANTANDER BRASIL S.A cedeu os créditos hipotecários a KARLA ALESSANDRA ROSSINI ROCHA e outros".</w:t>
      </w:r>
    </w:p>
    <w:p>
      <w:pPr>
        <w:pStyle w:val="ListBullet"/>
      </w:pPr>
      <w:r>
        <w:t>🟥 Ponto novo: o edital NÃO lista a penhora desta execução (auto de 16/11/1987). Se ela não estiver averbada na matrícula 4.893, a tese da "anterioridade da penhora" (art. 908, § 2º, do CPC) fica mais fraca perante terceiros, e a defesa passa a depender da hipoteca (art. 908, caput e § 1º, preferência de direito material).</w:t>
      </w:r>
    </w:p>
    <w:p>
      <w:pPr>
        <w:pStyle w:val="ListBullet"/>
      </w:pPr>
      <w:r>
        <w:t>🟨 Hipoteca: o edital de 10/2025 ainda a lista na Av.01, sem cancelamento. Continua aberta a questão do prazo de 30 anos (art. 1.485 do CC), contado de 1987.</w:t>
      </w:r>
    </w:p>
    <w:p>
      <w:pPr>
        <w:pStyle w:val="ListBullet"/>
      </w:pPr>
      <w:r>
        <w:t>PENDENTE: a fls. 3227 (certidão da matrícula juntada pelo Bradesco) é só imagem e não tem texto no PDF. O arquivo 3201-3280.pdf (10,3 MB) passa do limite de download. Marcos: subir em PDF só as folhas da certidão (fls. 3220/3228, aproximadamente) para conferir a Av.01 completa, a data da hipoteca e se há averbação da penhora de 1987.</w:t>
      </w:r>
    </w:p>
    <w:p>
      <w:pPr>
        <w:pStyle w:val="Heading2"/>
      </w:pPr>
      <w:r>
        <w:t>A.4 Multa de 5% — fls. 3278/3283 e-SAJ / física: n/d (decisão liberada em 31/10/2025, Juiz Cristiano Canezin Barbosa)</w:t>
      </w:r>
    </w:p>
    <w:p>
      <w:pPr>
        <w:pStyle w:val="ListBullet"/>
      </w:pPr>
      <w:r>
        <w:t>Fundamentação (fls. 3282): "Em face da reincidência nesta conduta abusiva, impõe-se a aplicação de nova sanção sem prejuízo daquela já imposta. (...) condeno o executado ESPÓLIO DE SÉRGIO BUENO PEREIRA DA CUNHA ao pagamento de multa por litigância de má-fé no importe de 5% (cinco por cento) sobre o valor atualizado da execução, a ser revertida em favor dos credores."</w:t>
      </w:r>
    </w:p>
    <w:p>
      <w:pPr>
        <w:pStyle w:val="ListBullet"/>
      </w:pPr>
      <w:r>
        <w:t>Dispositivo (fls. 3282, item ii): "CONDENO o executado ao pagamento de multa por litigância de má-fé, que fixo em 5% (cinco por cento) sobre o valor atualizado da execução, nos termos do art. 81 do CPC, revertida em favor dos exequentes."</w:t>
      </w:r>
    </w:p>
    <w:p>
      <w:pPr>
        <w:pStyle w:val="ListBullet"/>
      </w:pPr>
      <w:r>
        <w:t>Mantida no AI 2353386-61.2025 (13ª CDP, j. 04/03/2026): "Não é ainda o caso de redução da multa, uma vez que houve reincidência em sua conduta" (fls. 3431/3432 e-SAJ). Trânsito em julgado em 31/03/2026 (fls. 3434). O juízo deu ciência: "mantendo na integra o decidido a fls. 3.278/3.283" (fls. 3435).</w:t>
      </w:r>
    </w:p>
    <w:p>
      <w:pPr>
        <w:pStyle w:val="ListBullet"/>
      </w:pPr>
      <w:r>
        <w:t>Resumo: percentual de 5%; base "valor atualizado da execução"; credores beneficiários; devedor só o Espólio; cumulativa com a de 1% ("sem prejuízo daquela já imposta"). Cuidado (Dossiê v2.1, 17.1): a multa é posterior a fls. 3066, e o juiz pode entender que ela não está abrangida pela ordem de calcular "nos exatos termos de fls. 3066". Por isso, linha própria e separável.</w:t>
      </w:r>
    </w:p>
    <w:p>
      <w:pPr>
        <w:pStyle w:val="Heading2"/>
      </w:pPr>
      <w:r>
        <w:t>A.5 Lei 14.905/2024 nos juros legais</w:t>
      </w:r>
    </w:p>
    <w:p>
      <w:pPr>
        <w:pStyle w:val="ListBullet"/>
      </w:pPr>
      <w:r>
        <w:t>Conferido na decisão agravada, na origem (fls. 3436 e-SAJ / física: n/d): "os credores aplicaram juros de 1% ao mês de forma linear para todo o período, retroagindo a maio de 1987, sem observar a taxa de juros legal sob a égide do Código Civil de 1916, o Código Civil de 2002 (artigo 406), e notadamente as regras atuais introduzidas pela Lei nº 14.905/2024, que instituiu nova metodologia de cálculo (SELIC deduzida do IPCA)."</w:t>
      </w:r>
    </w:p>
    <w:p>
      <w:pPr>
        <w:pStyle w:val="ListBullet"/>
      </w:pPr>
      <w:r>
        <w:t>🟨 A "fls. 154 do AI" não foi conferida: a cópia do AI que tenho tem 112 páginas e só traz texto até a fls. 80. Na petição, citar a fonte da origem (fls. 3436 e-SAJ), que está conferida.</w:t>
      </w:r>
    </w:p>
    <w:p>
      <w:pPr>
        <w:pStyle w:val="ListBullet"/>
      </w:pPr>
      <w:r>
        <w:t>Consequência para o cálculo: três regimes de juros (CC/1916; CC/2002, art. 406; Lei 14.905/2024). O regime da Lei 14.905 vale a partir de 30/08/2024 (art. 5º, II: 60 dias após a publicação em 01/07/2024). A Tabela Prática do TJSP já usa o IPCA-15 a partir de set/2024 (Observação II, fls. 3455).</w:t>
      </w:r>
    </w:p>
    <w:p>
      <w:pPr>
        <w:pStyle w:val="Heading2"/>
      </w:pPr>
      <w:r>
        <w:t>A.6 O que esta versão muda em relação ao Roteiro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Ponto</w:t>
            </w:r>
          </w:p>
        </w:tc>
        <w:tc>
          <w:tcPr>
            <w:tcW w:type="dxa" w:w="2835"/>
            <w:shd w:val="clear" w:color="auto" w:fill="D9D9D9"/>
          </w:tcPr>
          <w:p>
            <w:r>
              <w:rPr>
                <w:b/>
              </w:rPr>
              <w:t>v1</w:t>
            </w:r>
          </w:p>
        </w:tc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  <w:t>v2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Termo inicial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"vencimento em maio/1987"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Termo inicial maio/1987 fixado a fls. 3066. A cédula venceu em 06/07/1987 (fls. 2158 e-SAJ).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Multa de 5%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Condicional, "para o Dr. José Maria decidir"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Linha própria, só contra o Espólio, conferida (A.4).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Bases das multas e dos honorários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Indefinidas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Definidas, com três variantes de base para as multas (B.6).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Honorários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20% "sobre o montante da execução"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20% sobre (principal + juros + multa contratual), em linha própria, porque a titularidade ainda está pendente.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Taxa legal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Sem método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Série oficial do BCB, juros simples, meses negativos iguais a zero (art. 406, § 3º).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Data-base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"Último mês disponível"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Duas colunas: 31/07/2026 (comparável com fls. 3452) e último mês disponível.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Comparativo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Não havia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Quadro linha a linha com a conta do executado (fls. 3452).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Cenário B (SELIC 2003-2024)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Não havia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Só para controle interno (Tema 1.368/STJ).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Custas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Não havia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Bloco próprio, só com comprovantes.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Folha da planilha antiga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"fls. 3442/3443"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"fls. 3442" (a fls. 3443 é a impugnação do executado).</w:t>
            </w:r>
          </w:p>
        </w:tc>
      </w:tr>
    </w:tbl>
    <w:p/>
    <w:p>
      <w:r>
        <w:br w:type="page"/>
      </w:r>
    </w:p>
    <w:p>
      <w:pPr>
        <w:pStyle w:val="Heading1"/>
      </w:pPr>
      <w:r>
        <w:t>PARTE B — INSTRUÇÕES AO CALCULISTA (enviar esta parte)</w:t>
      </w:r>
    </w:p>
    <w:p>
      <w:r>
        <w:t>Processo 0000001-82.1987.8.26.0408 — 3ª Vara Cível de Ourinhos/SP — Execução de Título Extrajudicial (Cédula de Crédito Industrial nº 52/559). Credores: Eduardo Oliveira Rosini, Karla Alessandra Oliveira Rosini Rocha e Cíntia Oliveira Rosini. Devedores: Espólio de Sérgio Bueno Pereira da Cunha e Chavantes Agropecuária Ltda. ME.</w:t>
      </w:r>
    </w:p>
    <w:p>
      <w:r>
        <w:rPr>
          <w:b/>
        </w:rPr>
        <w:t>Objetivo: refazer a planilha de fls. 3442 seguindo exatamente a metodologia da decisão de fls. 3064/3066 (item 2), que a decisão de fls. 3435/3437 mandou observar "nos exatos termos". Não se trata de calcular o que achamos devido, e sim de cumprir a ordem do juiz.</w:t>
      </w:r>
    </w:p>
    <w:p>
      <w:pPr>
        <w:pStyle w:val="Heading2"/>
      </w:pPr>
      <w:r>
        <w:t>B.1 A ordem do juiz (fls. 3066, item 2, literal)</w:t>
      </w:r>
    </w:p>
    <w:p>
      <w:r>
        <w:t>"a) Proceda-se à atualização monetária exclusivamente do valor principal desde a data do vencimento (maio/1987) até a data do cálculo; b) Conte-se os juros legais sobre o valor principal corrigido, desde maio/1987 até a data do cálculo; c) Após apurado o montante do débito principal com seus acréscimos legais, calculem-se separadamente os demais encargos (multas e honorários advocatícios). (...) contagem de juros sobre juros (...) configurando capitalização vedada em lei."</w:t>
      </w:r>
    </w:p>
    <w:p>
      <w:pPr>
        <w:pStyle w:val="Heading2"/>
      </w:pPr>
      <w:r>
        <w:t>B.2 Data-base</w:t>
      </w:r>
    </w:p>
    <w:p>
      <w:pPr>
        <w:pStyle w:val="ListBullet"/>
      </w:pPr>
      <w:r>
        <w:t>Coluna 1: 31/07/2026. É a mesma data da conta do executado (fls. 3452) e permite comparar linha a linha.</w:t>
      </w:r>
    </w:p>
    <w:p>
      <w:pPr>
        <w:pStyle w:val="ListBullet"/>
      </w:pPr>
      <w:r>
        <w:t>Coluna 2: último mês disponível da Tabela Prática do TJSP na data da entrega. Informar o mês e o fator usados.</w:t>
      </w:r>
    </w:p>
    <w:p>
      <w:pPr>
        <w:pStyle w:val="Heading2"/>
      </w:pPr>
      <w:r>
        <w:t>B.3 Principal corrigido</w:t>
      </w:r>
    </w:p>
    <w:p>
      <w:pPr>
        <w:pStyle w:val="ListBullet"/>
      </w:pPr>
      <w:r>
        <w:t>Valor: Cz$ 1.210.000,00. Termo inicial: maio/1987 (fator 251,56).</w:t>
      </w:r>
    </w:p>
    <w:p>
      <w:pPr>
        <w:pStyle w:val="ListBullet"/>
      </w:pPr>
      <w:r>
        <w:t>Fórmula da Observação I da Tabela Prática: valor ÷ fator do mês inicial × fator do mês final. O fator já converte a moeda (Cz$ → NCz$ → Cr$ → CR$ → R$). Não fazer conversão à parte.</w:t>
      </w:r>
    </w:p>
    <w:p>
      <w:pPr>
        <w:pStyle w:val="ListBullet"/>
      </w:pPr>
      <w:r>
        <w:t>Conferência obrigatória: 1.210.000,00 ÷ 251,56 × 105,492562 (jul/2026) = R$ 507.417,71. O executado chegou ao mesmo valor (fls. 3452).</w:t>
      </w:r>
    </w:p>
    <w:p>
      <w:pPr>
        <w:pStyle w:val="Heading2"/>
      </w:pPr>
      <w:r>
        <w:t>B.4 Juros legais: simples, sempre sobre o principal corrigido da data-base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</w:rPr>
              <w:t>Taxa</w:t>
            </w:r>
          </w:p>
        </w:tc>
        <w:tc>
          <w:tcPr>
            <w:tcW w:type="dxa" w:w="2835"/>
            <w:shd w:val="clear" w:color="auto" w:fill="D9D9D9"/>
          </w:tcPr>
          <w:p>
            <w:r>
              <w:rPr>
                <w:b/>
              </w:rPr>
              <w:t>Fundamento</w:t>
            </w:r>
          </w:p>
        </w:tc>
        <w:tc>
          <w:tcPr>
            <w:tcW w:type="dxa" w:w="2835"/>
            <w:shd w:val="clear" w:color="auto" w:fill="D9D9D9"/>
          </w:tcPr>
          <w:p>
            <w:r>
              <w:rPr>
                <w:b/>
              </w:rPr>
              <w:t>Conferência (até 31/07/2026)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06/05/1987 a 11/01/2003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6% ao ano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CC/1916, art. 1.062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94,1094% → R$ 477.527,77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12/01/2003 a 29/08/2024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1% ao mês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CC/2002, art. 406 (critério das duas partes)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259,5484% → R$ 1.316.994,56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30/08/2024 até a data-base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Taxa legal (SELIC − IPCA)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CC, art. 406, §§ 1º a 3º (Lei 14.905/2024)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executado: 15,141625% → R$ 76.831,29</w:t>
            </w:r>
          </w:p>
        </w:tc>
      </w:tr>
    </w:tbl>
    <w:p/>
    <w:p>
      <w:pPr>
        <w:pStyle w:val="ListBullet"/>
      </w:pPr>
      <w:r>
        <w:t>Use a mesma contagem de tempo da conta do executado (fls. 3452), para que os percentuais coincidam: 94,109400% e 259,548400%. Se a sua contagem der outro número, informe a diferença e o motivo.</w:t>
      </w:r>
    </w:p>
    <w:p>
      <w:pPr>
        <w:pStyle w:val="ListBullet"/>
      </w:pPr>
      <w:r>
        <w:t>Taxa legal: use a série oficial divulgada pelo Banco Central (art. 406, § 2º, do CC). Some as taxas mensais de forma simples, sem capitalização, com pro rata nos meses incompletos. Mês com taxa negativa conta como zero (art. 406, § 3º). Informe a fonte e a lista dos percentuais mensais. O executado usou a "Calculadora do Cidadão" e chegou a 15,141625%: compare.</w:t>
      </w:r>
    </w:p>
    <w:p>
      <w:pPr>
        <w:pStyle w:val="ListBullet"/>
      </w:pPr>
      <w:r>
        <w:t>Todos os juros incidem sobre o MESMO principal corrigido. Nunca sobre o número nominal 1.210.000,00. Nunca sobre um subtotal que já tenha juros.</w:t>
      </w:r>
    </w:p>
    <w:p>
      <w:r>
        <w:rPr>
          <w:b/>
        </w:rPr>
        <w:t>Subtotal A = principal corrigido + juros (conferência em 07/2026: R$ 2.378.771,32).</w:t>
      </w:r>
    </w:p>
    <w:p>
      <w:pPr>
        <w:pStyle w:val="Heading2"/>
      </w:pPr>
      <w:r>
        <w:t>B.5 Multa contratual e honorários</w:t>
      </w:r>
    </w:p>
    <w:p>
      <w:pPr>
        <w:pStyle w:val="ListBullet"/>
      </w:pPr>
      <w:r>
        <w:t>Multa contratual de 10% sobre o Subtotal A (cláusula 5 da cédula). Conferência em 07/2026: R$ 237.877,13.</w:t>
      </w:r>
    </w:p>
    <w:p>
      <w:r>
        <w:rPr>
          <w:b/>
        </w:rPr>
        <w:t>Subtotal B = Subtotal A + multa contratual (conferência: R$ 2.616.648,45).</w:t>
      </w:r>
    </w:p>
    <w:p>
      <w:pPr>
        <w:pStyle w:val="ListBullet"/>
      </w:pPr>
      <w:r>
        <w:t>Honorários advocatícios de 20% sobre o Subtotal B (sentença dos embargos, fls. 2184: "20% (vinte por cento) sobre o montante da execução"). Conferência: R$ 523.329,69. Apresentar em LINHA PRÓPRIA, com o título "Honorários fixados na sentença dos embargos (fls. 2184)". Não aplicar juros sobre os honorários. Não usar 10% do valor da causa.</w:t>
      </w:r>
    </w:p>
    <w:p>
      <w:pPr>
        <w:pStyle w:val="Heading2"/>
      </w:pPr>
      <w:r>
        <w:t>B.6 Multas por litigância de má-fé: bloco próprio, devidas SÓ pelo Espólio</w:t>
      </w:r>
    </w:p>
    <w:p>
      <w:pPr>
        <w:pStyle w:val="ListBullet"/>
      </w:pPr>
      <w:r>
        <w:t>Multa de 1%: "1% do valor da execução" (AI 2236642-80.2025, fls. 3350). Substitui a de 9%. Nunca usar 9%.</w:t>
      </w:r>
    </w:p>
    <w:p>
      <w:pPr>
        <w:pStyle w:val="ListBullet"/>
      </w:pPr>
      <w:r>
        <w:t>Multa de 5%: "5% (cinco por cento) sobre o valor atualizado da execução" (fls. 3282; mantida a fls. 3431/3432).</w:t>
      </w:r>
    </w:p>
    <w:p>
      <w:pPr>
        <w:pStyle w:val="ListBullet"/>
      </w:pPr>
      <w:r>
        <w:t>Calcule as duas sobre três bases, em colunas lado a lado. O Dr. José Maria escolhe a 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Base</w:t>
            </w:r>
          </w:p>
        </w:tc>
        <w:tc>
          <w:tcPr>
            <w:tcW w:type="dxa" w:w="3118"/>
            <w:shd w:val="clear" w:color="auto" w:fill="D9D9D9"/>
          </w:tcPr>
          <w:p>
            <w:r>
              <w:rPr>
                <w:b/>
              </w:rPr>
              <w:t>Composição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Multa 1% (07/2026)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b/>
              </w:rPr>
              <w:t>Multa 5% (07/2026)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Base 1 (conservadora)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Subtotal 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R$ 23.787,71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R$ 118.938,57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Base 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Subtotal B (A + multa contratual)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R$ 26.166,48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R$ 130.832,42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Base 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Subtotal B + honorários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R$ 31.399,78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R$ 156.998,91</w:t>
            </w:r>
          </w:p>
        </w:tc>
      </w:tr>
    </w:tbl>
    <w:p/>
    <w:p>
      <w:pPr>
        <w:pStyle w:val="ListBullet"/>
      </w:pPr>
      <w:r>
        <w:t>Uma multa não incide sobre a outra. Nenhuma multa de má-fé entra na base dos honorários. No total da planilha, use a Base 1, salvo instrução em contrário.</w:t>
      </w:r>
    </w:p>
    <w:p>
      <w:pPr>
        <w:pStyle w:val="Heading2"/>
      </w:pPr>
      <w:r>
        <w:t>B.7 Custas e despesas (bloco próprio, só com comprovante)</w:t>
      </w:r>
    </w:p>
    <w:p>
      <w:pPr>
        <w:pStyle w:val="ListBullet"/>
      </w:pPr>
      <w:r>
        <w:t>Entram só as despesas pagas pelos exequentes depois de 31/03/2010 (data da cessão), com comprovante: guias de custas, diligências de oficial, publicações de edital e despesas do leiloeiro adiantadas pelos exequentes.</w:t>
      </w:r>
    </w:p>
    <w:p>
      <w:pPr>
        <w:pStyle w:val="ListBullet"/>
      </w:pPr>
      <w:r>
        <w:t>A comissão do leiloeiro, quando paga pelo arrematante, NÃO entra.</w:t>
      </w:r>
    </w:p>
    <w:p>
      <w:pPr>
        <w:pStyle w:val="ListBullet"/>
      </w:pPr>
      <w:r>
        <w:t>Para cada item, informe: data do pagamento, natureza, nº da guia ou recibo, folha dos autos (se já juntado), valor, fator da Tabela Prática do mês do pagamento e valor corrigido até a data-base. Só correção, sem juros.</w:t>
      </w:r>
    </w:p>
    <w:p>
      <w:pPr>
        <w:pStyle w:val="ListBullet"/>
      </w:pPr>
      <w:r>
        <w:t>Sem comprovante, não lance: deixe a linha "custas: a apresentar".</w:t>
      </w:r>
    </w:p>
    <w:p>
      <w:pPr>
        <w:pStyle w:val="Heading2"/>
      </w:pPr>
      <w:r>
        <w:t>B.8 Quadro final e comparativo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D9D9"/>
          </w:tcPr>
          <w:p>
            <w:r>
              <w:rPr>
                <w:b/>
              </w:rPr>
              <w:t>Linha</w:t>
            </w:r>
          </w:p>
        </w:tc>
        <w:tc>
          <w:tcPr>
            <w:tcW w:type="dxa" w:w="8504"/>
            <w:shd w:val="clear" w:color="auto" w:fill="D9D9D9"/>
          </w:tcPr>
          <w:p>
            <w:r>
              <w:rPr>
                <w:b/>
              </w:rPr>
              <w:t>Verba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Principal corrigido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Juros 6% a.a. (06/05/1987 a 11/01/2003)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Juros 1% a.m. (12/01/2003 a 29/08/2024)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Juros taxa legal (30/08/2024 até a data-base)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Subtotal 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Multa contratual de 10%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Subtotal B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Honorários de 20% (sentença dos embargos), linha própria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TOTAL DO DÉBITO (devedores solidários)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Multa de má-fé de 1%, devida só pelo Espólio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Multa de má-fé de 5%, devida só pelo Espólio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Custas e despesas comprovadas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TOTAL GERAL</w:t>
            </w:r>
          </w:p>
        </w:tc>
      </w:tr>
    </w:tbl>
    <w:p/>
    <w:p>
      <w:pPr>
        <w:pStyle w:val="ListBullet"/>
      </w:pPr>
      <w:r>
        <w:t>Coloque ao lado uma coluna com a conta do executado (fls. 3452) e uma coluna de diferença, linha a linha. Referência do executado: total de R$ 2.911.270,42, com honorários de 10% sobre o valor da causa (R$ 270.834,25) e sem a multa de 5%.</w:t>
      </w:r>
    </w:p>
    <w:p>
      <w:pPr>
        <w:pStyle w:val="ListBullet"/>
      </w:pPr>
      <w:r>
        <w:t>Ordem de grandeza esperada (07/2026, Base 1): R$ 3.163.765,85 sem a multa de 5% e R$ 3.282.704,42 com ela, sem custas. Diferença muito maior do que isso indica erro.</w:t>
      </w:r>
    </w:p>
    <w:p>
      <w:pPr>
        <w:pStyle w:val="Heading2"/>
      </w:pPr>
      <w:r>
        <w:t>B.9 Cenário B — só para controle interno (NÃO juntar aos autos)</w:t>
      </w:r>
    </w:p>
    <w:p>
      <w:pPr>
        <w:pStyle w:val="ListBullet"/>
      </w:pPr>
      <w:r>
        <w:t>Mesmo principal e mesmos juros de 6% a.a. até 11/01/2003. De 12/01/2003 a 29/08/2024, use a SELIC (série oficial do BCB) no lugar da Tabela Prática + 1% a.m., sem somar outro índice. A partir de 30/08/2024, Tabela Prática + taxa legal. Informe a fonte, o método de acumulação da SELIC e o total, para comparar com o cenário principal.</w:t>
      </w:r>
    </w:p>
    <w:p>
      <w:pPr>
        <w:pStyle w:val="Heading2"/>
      </w:pPr>
      <w:r>
        <w:t>B.10 Proibições (erros da planilha antiga e dos cálculos do processo)</w:t>
      </w:r>
    </w:p>
    <w:p>
      <w:pPr>
        <w:pStyle w:val="ListBullet"/>
      </w:pPr>
      <w:r>
        <w:t>Não aplicar juros sobre 1.210.000,00 como se fossem reais (erro de fls. 3442).</w:t>
      </w:r>
    </w:p>
    <w:p>
      <w:pPr>
        <w:pStyle w:val="ListBullet"/>
      </w:pPr>
      <w:r>
        <w:t>Não aplicar a taxa legal sobre juros já apurados (erro de fls. 3442).</w:t>
      </w:r>
    </w:p>
    <w:p>
      <w:pPr>
        <w:pStyle w:val="ListBullet"/>
      </w:pPr>
      <w:r>
        <w:t>Não usar multa de 9%.</w:t>
      </w:r>
    </w:p>
    <w:p>
      <w:pPr>
        <w:pStyle w:val="ListBullet"/>
      </w:pPr>
      <w:r>
        <w:t>Não usar honorários de 10% sobre o valor da causa.</w:t>
      </w:r>
    </w:p>
    <w:p>
      <w:pPr>
        <w:pStyle w:val="ListBullet"/>
      </w:pPr>
      <w:r>
        <w:t>Não aplicar honorários sobre multas de má-fé, nem multa sobre multa (erro de fls. 3078).</w:t>
      </w:r>
    </w:p>
    <w:p>
      <w:pPr>
        <w:pStyle w:val="ListBullet"/>
      </w:pPr>
      <w:r>
        <w:t>Não partir de nenhum valor de 1995, 2024 ou 2025: só do principal histórico de Cz$ 1.210.000,00.</w:t>
      </w:r>
    </w:p>
    <w:p>
      <w:pPr>
        <w:pStyle w:val="ListBullet"/>
      </w:pPr>
      <w:r>
        <w:t>Não capitalizar juros em nenhum período.</w:t>
      </w:r>
    </w:p>
    <w:p>
      <w:pPr>
        <w:pStyle w:val="Heading2"/>
      </w:pPr>
      <w:r>
        <w:t>B.11 Entrega</w:t>
      </w:r>
    </w:p>
    <w:p>
      <w:pPr>
        <w:pStyle w:val="ListBullet"/>
      </w:pPr>
      <w:r>
        <w:t>PDF assinado, com identificação do calculista (nome, registro profissional), e a planilha em Excel com as fórmulas.</w:t>
      </w:r>
    </w:p>
    <w:p>
      <w:pPr>
        <w:pStyle w:val="ListBullet"/>
      </w:pPr>
      <w:r>
        <w:t>Memória de cálculo de cada linha: índice, fator inicial e final, período, número de dias ou meses, taxa, base e valor.</w:t>
      </w:r>
    </w:p>
    <w:p>
      <w:pPr>
        <w:pStyle w:val="ListBullet"/>
      </w:pPr>
      <w:r>
        <w:t>Duas colunas de data-base (B.2), o comparativo com fls. 3452 (B.8) e o Cenário B em arquivo separado (B.9).</w:t>
      </w:r>
    </w:p>
    <w:p>
      <w:pPr>
        <w:pStyle w:val="ListBullet"/>
      </w:pPr>
      <w:r>
        <w:t>Nas folhas, citar sempre a numeração do processo digital ("fls. N").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