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Times New Roman" w:cs="Times New Roman" w:eastAsia="Times New Roman" w:hAnsi="Times New Roman"/>
          <w:b/>
          <w:bCs/>
          <w:color w:val="1F3864"/>
          <w:sz w:val="30"/>
          <w:szCs w:val="30"/>
        </w:rPr>
        <w:t xml:space="preserve">RELATÓRIO PARA A RESPOSTA À CONTRAMINUTA — AI 2186351-42.2026.8.26.0000</w:t>
      </w:r>
    </w:p>
    <w:p>
      <w:pPr>
        <w:spacing w:after="40" w:line="276"/>
        <w:jc w:val="center"/>
      </w:pPr>
      <w:r>
        <w:rPr>
          <w:rFonts w:ascii="Times New Roman" w:cs="Times New Roman" w:eastAsia="Times New Roman" w:hAnsi="Times New Roman"/>
          <w:b/>
          <w:bCs/>
          <w:i w:val="false"/>
          <w:iCs w:val="false"/>
        </w:rPr>
        <w:t xml:space="preserve">Claude Opus 5.5 (Anthropic) | Data: 28/09/2026 | Hora: 10:41:52 (Brasília) | Chat: Auditoria EPE Ourinhos</w:t>
      </w:r>
    </w:p>
    <w:p>
      <w:pPr>
        <w:spacing w:after="40" w:line="276"/>
        <w:jc w:val="center"/>
      </w:pPr>
      <w:r>
        <w:rPr>
          <w:rFonts w:ascii="Times New Roman" w:cs="Times New Roman" w:eastAsia="Times New Roman" w:hAnsi="Times New Roman"/>
          <w:b/>
          <w:bCs/>
          <w:i w:val="false"/>
          <w:iCs w:val="false"/>
        </w:rPr>
        <w:t xml:space="preserve">Agravantes:</w:t>
      </w:r>
      <w:r>
        <w:rPr>
          <w:rFonts w:ascii="Times New Roman" w:cs="Times New Roman" w:eastAsia="Times New Roman" w:hAnsi="Times New Roman"/>
          <w:b w:val="false"/>
          <w:bCs w:val="false"/>
          <w:i w:val="false"/>
          <w:iCs w:val="false"/>
        </w:rPr>
        <w:t xml:space="preserve"> Karla Alessandra Oliveira Rosini Rocha, Eduardo Oliveira Rosini e Cíntia Oliveira Rosini (cessionários exequentes)</w:t>
      </w:r>
    </w:p>
    <w:p>
      <w:pPr>
        <w:spacing w:after="40" w:line="276"/>
        <w:jc w:val="center"/>
      </w:pPr>
      <w:r>
        <w:rPr>
          <w:rFonts w:ascii="Times New Roman" w:cs="Times New Roman" w:eastAsia="Times New Roman" w:hAnsi="Times New Roman"/>
          <w:b/>
          <w:bCs/>
          <w:i w:val="false"/>
          <w:iCs w:val="false"/>
        </w:rPr>
        <w:t xml:space="preserve">Agravado:</w:t>
      </w:r>
      <w:r>
        <w:rPr>
          <w:rFonts w:ascii="Times New Roman" w:cs="Times New Roman" w:eastAsia="Times New Roman" w:hAnsi="Times New Roman"/>
          <w:b w:val="false"/>
          <w:bCs w:val="false"/>
          <w:i w:val="false"/>
          <w:iCs w:val="false"/>
        </w:rPr>
        <w:t xml:space="preserve"> Espólio de Sérgio Bueno Pereira da Cunha</w:t>
      </w:r>
    </w:p>
    <w:p>
      <w:pPr>
        <w:spacing w:after="40" w:line="276"/>
        <w:jc w:val="center"/>
      </w:pPr>
      <w:r>
        <w:rPr>
          <w:rFonts w:ascii="Times New Roman" w:cs="Times New Roman" w:eastAsia="Times New Roman" w:hAnsi="Times New Roman"/>
          <w:b/>
          <w:bCs/>
          <w:i w:val="false"/>
          <w:iCs w:val="false"/>
        </w:rPr>
        <w:t xml:space="preserve">Órgão:</w:t>
      </w:r>
      <w:r>
        <w:rPr>
          <w:rFonts w:ascii="Times New Roman" w:cs="Times New Roman" w:eastAsia="Times New Roman" w:hAnsi="Times New Roman"/>
          <w:b w:val="false"/>
          <w:bCs w:val="false"/>
          <w:i w:val="false"/>
          <w:iCs w:val="false"/>
        </w:rPr>
        <w:t xml:space="preserve"> 13ª Câmara de Direito Privado do TJSP — Relatora Des. Ana de Lourdes Coutinho Silva da Fonseca — concluso desde 26/08/2026</w:t>
      </w:r>
    </w:p>
    <w:p>
      <w:pPr>
        <w:spacing w:after="40" w:line="276"/>
        <w:jc w:val="center"/>
      </w:pPr>
      <w:r>
        <w:rPr>
          <w:rFonts w:ascii="Times New Roman" w:cs="Times New Roman" w:eastAsia="Times New Roman" w:hAnsi="Times New Roman"/>
          <w:b/>
          <w:bCs/>
          <w:i w:val="false"/>
          <w:iCs w:val="false"/>
        </w:rPr>
        <w:t xml:space="preserve">Origem:</w:t>
      </w:r>
      <w:r>
        <w:rPr>
          <w:rFonts w:ascii="Times New Roman" w:cs="Times New Roman" w:eastAsia="Times New Roman" w:hAnsi="Times New Roman"/>
          <w:b w:val="false"/>
          <w:bCs w:val="false"/>
          <w:i w:val="false"/>
          <w:iCs w:val="false"/>
        </w:rPr>
        <w:t xml:space="preserve"> Execução de Título Extrajudicial nº 0000001-82.1987.8.26.0408, 3ª Vara Cível de Ourinhos</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0. Convenções</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Folhas do agravo:</w:t>
      </w:r>
      <w:r>
        <w:rPr>
          <w:rFonts w:ascii="Times New Roman" w:cs="Times New Roman" w:eastAsia="Times New Roman" w:hAnsi="Times New Roman"/>
          <w:b w:val="false"/>
          <w:bCs w:val="false"/>
          <w:i w:val="false"/>
          <w:iCs w:val="false"/>
        </w:rPr>
        <w:t xml:space="preserve"> "fls. N do AI". São peças digitais, sem folha física.</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Folhas da origem:</w:t>
      </w:r>
      <w:r>
        <w:rPr>
          <w:rFonts w:ascii="Times New Roman" w:cs="Times New Roman" w:eastAsia="Times New Roman" w:hAnsi="Times New Roman"/>
          <w:b w:val="false"/>
          <w:bCs w:val="false"/>
          <w:i w:val="false"/>
          <w:iCs w:val="false"/>
        </w:rPr>
        <w:t xml:space="preserve"> "fls. N e-SAJ / fls. X física". Peças nascidas digitais não têm folha física e aparecem como "(digital)".</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Folhas das cópias da Carta Precatória:</w:t>
      </w:r>
      <w:r>
        <w:rPr>
          <w:rFonts w:ascii="Times New Roman" w:cs="Times New Roman" w:eastAsia="Times New Roman" w:hAnsi="Times New Roman"/>
          <w:b w:val="false"/>
          <w:bCs w:val="false"/>
          <w:i w:val="false"/>
          <w:iCs w:val="false"/>
        </w:rPr>
        <w:t xml:space="preserve"> "fls. N e-SAJ / fls. X física (embargos)". A folha física é o carimbo manuscrito dos autos dos embargos, processo 841/87, apenso.</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Acórdão do AI 2353386 na origem:</w:t>
      </w:r>
      <w:r>
        <w:rPr>
          <w:rFonts w:ascii="Times New Roman" w:cs="Times New Roman" w:eastAsia="Times New Roman" w:hAnsi="Times New Roman"/>
          <w:b w:val="false"/>
          <w:bCs w:val="false"/>
          <w:i w:val="false"/>
          <w:iCs w:val="false"/>
        </w:rPr>
        <w:t xml:space="preserve"> há duas cópias. A primeira, juntada pelos exequentes em 05/03/2026, está em fls. 3395/3406 e-SAJ. A segunda, trasladada pelo cartório em 23/04/2026 com a certidão de trânsito, está em fls. 3422/3434 e-SAJ, e é a que a decisão agravada cita. Este relatório usa a segunda. Correspondência: fls. 3403 = 3430; 3404 = 3431; 3405 = 3432; 3406 = 3433.</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Sinais:</w:t>
      </w:r>
      <w:r>
        <w:rPr>
          <w:rFonts w:ascii="Times New Roman" w:cs="Times New Roman" w:eastAsia="Times New Roman" w:hAnsi="Times New Roman"/>
          <w:b w:val="false"/>
          <w:bCs w:val="false"/>
          <w:i w:val="false"/>
          <w:iCs w:val="false"/>
        </w:rPr>
        <w:t xml:space="preserve"> 🟩 conferido no documento; 🟨 depende de conferência adicional; 🟥 falso, contrário ou perigoso.</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Jurisprudência:</w:t>
      </w:r>
      <w:r>
        <w:rPr>
          <w:rFonts w:ascii="Times New Roman" w:cs="Times New Roman" w:eastAsia="Times New Roman" w:hAnsi="Times New Roman"/>
          <w:b w:val="false"/>
          <w:bCs w:val="false"/>
          <w:i w:val="false"/>
          <w:iCs w:val="false"/>
        </w:rPr>
        <w:t xml:space="preserve"> só são citados julgados lidos na íntegra na pasta do Drive. Nenhum julgado foi criado.</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1. Resumo executivo</w:t>
      </w:r>
    </w:p>
    <w:p>
      <w:pPr>
        <w:spacing w:after="120" w:line="360"/>
        <w:jc w:val="both"/>
      </w:pPr>
      <w:r>
        <w:rPr>
          <w:rFonts w:ascii="Times New Roman" w:cs="Times New Roman" w:eastAsia="Times New Roman" w:hAnsi="Times New Roman"/>
          <w:b/>
          <w:bCs/>
          <w:i w:val="false"/>
          <w:iCs w:val="false"/>
        </w:rPr>
        <w:t xml:space="preserve">A contraminuta é fraca no mérito e contém uma afirmação falsa grave, mas acerta no ponto processual mais sensível.</w:t>
      </w:r>
    </w:p>
    <w:p>
      <w:pPr>
        <w:pStyle w:val="ListParagraph"/>
        <w:numPr>
          <w:ilvl w:val="0"/>
          <w:numId w:val="3"/>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Afirmação falsa: "não houve embargos à execução"</w:t>
      </w:r>
      <w:r>
        <w:rPr>
          <w:rFonts w:ascii="Times New Roman" w:cs="Times New Roman" w:eastAsia="Times New Roman" w:hAnsi="Times New Roman"/>
          <w:b w:val="false"/>
          <w:bCs w:val="false"/>
          <w:i w:val="false"/>
          <w:iCs w:val="false"/>
        </w:rPr>
        <w:t xml:space="preserve"> (fls. 104 do AI). Os embargos existiram, foram julgados improcedentes em 03/05/1991 e a apelação foi desprovida em 05/10/1993, com trânsito certificado em 10/11/1993 (fls. 2144/2184 e-SAJ). A própria advocacia do executado admitiu isso em 02/05/2024 (fls. 1419/1421 e-SAJ). É alteração da verdade dos fatos (CPC, art. 80, II), a mesma conduta pela qual a Relatora já manteve multa de 5% por "reincidência" (fls. 3430/3432 e-SAJ).</w:t>
      </w:r>
    </w:p>
    <w:p>
      <w:pPr>
        <w:pStyle w:val="ListParagraph"/>
        <w:numPr>
          <w:ilvl w:val="0"/>
          <w:numId w:val="3"/>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Tese central errada: "em execução de título extrajudicial não há homologação de cálculo"</w:t>
      </w:r>
      <w:r>
        <w:rPr>
          <w:rFonts w:ascii="Times New Roman" w:cs="Times New Roman" w:eastAsia="Times New Roman" w:hAnsi="Times New Roman"/>
          <w:b w:val="false"/>
          <w:bCs w:val="false"/>
          <w:i w:val="false"/>
          <w:iCs w:val="false"/>
        </w:rPr>
        <w:t xml:space="preserve"> (fls. 100, 102, 105/106 e 111 do AI). A sentença dos embargos, transitada em julgado, determinou que "o 'quantum' exeqüendo será apurado por cálculo a ser elaborado pelo Juízo com base no contrato, que, após manifestações das partes, deverá ser homologado por decisão" (fls. 2178 e-SAJ / fls. 39 física). A homologação de 23/11/1995 (fls. 203 e-SAJ / 152 física) cumpriu esse comando.</w:t>
      </w:r>
    </w:p>
    <w:p>
      <w:pPr>
        <w:pStyle w:val="ListParagraph"/>
        <w:numPr>
          <w:ilvl w:val="0"/>
          <w:numId w:val="3"/>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Tese do anatocismo coberta por coisa julgada.</w:t>
      </w:r>
      <w:r>
        <w:rPr>
          <w:rFonts w:ascii="Times New Roman" w:cs="Times New Roman" w:eastAsia="Times New Roman" w:hAnsi="Times New Roman"/>
          <w:b w:val="false"/>
          <w:bCs w:val="false"/>
          <w:i w:val="false"/>
          <w:iCs w:val="false"/>
        </w:rPr>
        <w:t xml:space="preserve"> A mesma sentença julgou improcedentes as alegações "contra as taxas de juros estipuladas, bem como sua forma de contagem" e afastou o anatocismo (fls. 2178 e-SAJ). O acórdão de 1993 validou a taxa de 57,18% ao ano (fls. 2148 e-SAJ / fls. 155 física). A contraminuta não menciona nenhuma dessas peças.</w:t>
      </w:r>
    </w:p>
    <w:p>
      <w:pPr>
        <w:pStyle w:val="ListParagraph"/>
        <w:numPr>
          <w:ilvl w:val="0"/>
          <w:numId w:val="3"/>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"Anuência expressa" inexistente.</w:t>
      </w:r>
      <w:r>
        <w:rPr>
          <w:rFonts w:ascii="Times New Roman" w:cs="Times New Roman" w:eastAsia="Times New Roman" w:hAnsi="Times New Roman"/>
          <w:b w:val="false"/>
          <w:bCs w:val="false"/>
          <w:i w:val="false"/>
          <w:iCs w:val="false"/>
        </w:rPr>
        <w:t xml:space="preserve"> A petição de fls. 3077 e-SAJ (digital; protocolo 13/06/2025) diz apenas "em atendimento a r. decisão (…), requerer a juntada da planilha". Não contém nenhuma palavra de concordância. Depois do agravo, a petição de fls. 3441 e-SAJ (28/07/2026) fez </w:t>
      </w:r>
      <w:r>
        <w:rPr>
          <w:rFonts w:ascii="Times New Roman" w:cs="Times New Roman" w:eastAsia="Times New Roman" w:hAnsi="Times New Roman"/>
          <w:b/>
          <w:bCs/>
          <w:i w:val="false"/>
          <w:iCs w:val="false"/>
        </w:rPr>
        <w:t xml:space="preserve">ressalva expressa</w:t>
      </w:r>
      <w:r>
        <w:rPr>
          <w:rFonts w:ascii="Times New Roman" w:cs="Times New Roman" w:eastAsia="Times New Roman" w:hAnsi="Times New Roman"/>
          <w:b w:val="false"/>
          <w:bCs w:val="false"/>
          <w:i w:val="false"/>
          <w:iCs w:val="false"/>
        </w:rPr>
        <w:t xml:space="preserve"> do recurso, e a própria contraminuta a transcreve (fls. 110 do AI).</w:t>
      </w:r>
    </w:p>
    <w:p>
      <w:pPr>
        <w:pStyle w:val="ListParagraph"/>
        <w:numPr>
          <w:ilvl w:val="0"/>
          <w:numId w:val="3"/>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Ponto em que a contraminuta acerta:</w:t>
      </w:r>
      <w:r>
        <w:rPr>
          <w:rFonts w:ascii="Times New Roman" w:cs="Times New Roman" w:eastAsia="Times New Roman" w:hAnsi="Times New Roman"/>
          <w:b w:val="false"/>
          <w:bCs w:val="false"/>
          <w:i w:val="false"/>
          <w:iCs w:val="false"/>
        </w:rPr>
        <w:t xml:space="preserve"> os exequentes não agravaram de fls. 3064/3066 e-SAJ (item 2). O argumento de que poderiam "ter cumprido o comando (…) e interposto recurso próprio" (fls. 103 do AI) é o mais perigoso. A resposta precisa ser a coisa julgada material de 1991/1993, que é matéria de ordem pública e prevalece sobre a preclusão de uma interlocutória de 2025.</w:t>
      </w:r>
    </w:p>
    <w:p>
      <w:pPr>
        <w:pStyle w:val="ListParagraph"/>
        <w:numPr>
          <w:ilvl w:val="0"/>
          <w:numId w:val="3"/>
        </w:numPr>
        <w:spacing w:after="80" w:line="34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Pedido de multa por litigância de má-fé contra os agravantes</w:t>
      </w:r>
      <w:r>
        <w:rPr>
          <w:rFonts w:ascii="Times New Roman" w:cs="Times New Roman" w:eastAsia="Times New Roman" w:hAnsi="Times New Roman"/>
          <w:b w:val="false"/>
          <w:bCs w:val="false"/>
          <w:i w:val="false"/>
          <w:iCs w:val="false"/>
        </w:rPr>
        <w:t xml:space="preserve"> (fls. 109 do AI). É infundado: a citação de fls. 3436 no agravo é literal, e a contraminuta transcreve as mesmas palavras. Ainda assim, precisa ser respondido (CPC, arts. 9º e 10).</w:t>
      </w:r>
    </w:p>
    <w:p>
      <w:pPr>
        <w:spacing w:after="120" w:line="360"/>
        <w:jc w:val="both"/>
      </w:pPr>
      <w:r>
        <w:rPr>
          <w:rFonts w:ascii="Times New Roman" w:cs="Times New Roman" w:eastAsia="Times New Roman" w:hAnsi="Times New Roman"/>
          <w:b/>
          <w:bCs/>
          <w:i w:val="false"/>
          <w:iCs w:val="false"/>
        </w:rPr>
        <w:t xml:space="preserve">Recomendação:</w:t>
      </w:r>
      <w:r>
        <w:rPr>
          <w:rFonts w:ascii="Times New Roman" w:cs="Times New Roman" w:eastAsia="Times New Roman" w:hAnsi="Times New Roman"/>
          <w:b w:val="false"/>
          <w:bCs w:val="false"/>
          <w:i w:val="false"/>
          <w:iCs w:val="false"/>
        </w:rPr>
        <w:t xml:space="preserve"> protocolar </w:t>
      </w:r>
      <w:r>
        <w:rPr>
          <w:rFonts w:ascii="Times New Roman" w:cs="Times New Roman" w:eastAsia="Times New Roman" w:hAnsi="Times New Roman"/>
          <w:b/>
          <w:bCs/>
          <w:i w:val="false"/>
          <w:iCs w:val="false"/>
        </w:rPr>
        <w:t xml:space="preserve">já</w:t>
      </w:r>
      <w:r>
        <w:rPr>
          <w:rFonts w:ascii="Times New Roman" w:cs="Times New Roman" w:eastAsia="Times New Roman" w:hAnsi="Times New Roman"/>
          <w:b w:val="false"/>
          <w:bCs w:val="false"/>
          <w:i w:val="false"/>
          <w:iCs w:val="false"/>
        </w:rPr>
        <w:t xml:space="preserve">, antes da publicação da pauta, uma </w:t>
      </w:r>
      <w:r>
        <w:rPr>
          <w:rFonts w:ascii="Times New Roman" w:cs="Times New Roman" w:eastAsia="Times New Roman" w:hAnsi="Times New Roman"/>
          <w:b/>
          <w:bCs/>
          <w:i w:val="false"/>
          <w:iCs w:val="false"/>
        </w:rPr>
        <w:t xml:space="preserve">"Manifestação sobre a contraminuta, com juntada de documentos"</w:t>
      </w:r>
      <w:r>
        <w:rPr>
          <w:rFonts w:ascii="Times New Roman" w:cs="Times New Roman" w:eastAsia="Times New Roman" w:hAnsi="Times New Roman"/>
          <w:b w:val="false"/>
          <w:bCs w:val="false"/>
          <w:i w:val="false"/>
          <w:iCs w:val="false"/>
        </w:rPr>
        <w:t xml:space="preserve">, curta (8 a 12 páginas), com base nos arts. 9º, 10, 77, I, 435 e 437, § 1º, do CPC. Em paralelo, preparar os memoriais e o texto de esclarecimento de fato da Resolução TJSP 984/2025, art. 12, § 6º.</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2. Identificação da contraminuta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40"/>
        <w:gridCol w:w="6115"/>
        <w:gridCol w:w="816"/>
      </w:tblGrid>
      <w:tr>
        <w:trPr>
          <w:cantSplit/>
          <w:tblHeader/>
        </w:trPr>
        <w:tc>
          <w:tcPr>
            <w:tcW w:type="dxa" w:w="214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Item</w:t>
            </w:r>
          </w:p>
        </w:tc>
        <w:tc>
          <w:tcPr>
            <w:tcW w:type="dxa" w:w="611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Dado</w:t>
            </w:r>
          </w:p>
        </w:tc>
        <w:tc>
          <w:tcPr>
            <w:tcW w:type="dxa" w:w="81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r>
      <w:tr>
        <w:trPr>
          <w:cantSplit/>
          <w:tblHeader w:val="false"/>
        </w:trPr>
        <w:tc>
          <w:tcPr>
            <w:tcW w:type="dxa" w:w="214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Folhas</w:t>
            </w:r>
          </w:p>
        </w:tc>
        <w:tc>
          <w:tcPr>
            <w:tcW w:type="dxa" w:w="61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95 a 111 do AI (17 páginas, imagem)</w:t>
            </w:r>
          </w:p>
        </w:tc>
        <w:tc>
          <w:tcPr>
            <w:tcW w:type="dxa" w:w="8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14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Protocolo</w:t>
            </w:r>
          </w:p>
        </w:tc>
        <w:tc>
          <w:tcPr>
            <w:tcW w:type="dxa" w:w="61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24/08/2026, 17h05, nº WPRO26012804024</w:t>
            </w:r>
          </w:p>
        </w:tc>
        <w:tc>
          <w:tcPr>
            <w:tcW w:type="dxa" w:w="8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14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Data da peça</w:t>
            </w:r>
          </w:p>
        </w:tc>
        <w:tc>
          <w:tcPr>
            <w:tcW w:type="dxa" w:w="61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Ourinhos, 19/08/2026</w:t>
            </w:r>
          </w:p>
        </w:tc>
        <w:tc>
          <w:tcPr>
            <w:tcW w:type="dxa" w:w="8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14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Subscritora</w:t>
            </w:r>
          </w:p>
        </w:tc>
        <w:tc>
          <w:tcPr>
            <w:tcW w:type="dxa" w:w="61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Cinthia Helena Mantovani Zanoni Fittipaldi, OAB/SP 132.036 (escritório com Carlos Augusto Rios Fittipaldi)</w:t>
            </w:r>
          </w:p>
        </w:tc>
        <w:tc>
          <w:tcPr>
            <w:tcW w:type="dxa" w:w="8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14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Representação</w:t>
            </w:r>
          </w:p>
        </w:tc>
        <w:tc>
          <w:tcPr>
            <w:tcW w:type="dxa" w:w="61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Espólio, "representado por seu inventariante Fernando Rennó Pereira da Cunha"</w:t>
            </w:r>
          </w:p>
        </w:tc>
        <w:tc>
          <w:tcPr>
            <w:tcW w:type="dxa" w:w="8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14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Pedidos</w:t>
            </w:r>
          </w:p>
        </w:tc>
        <w:tc>
          <w:tcPr>
            <w:tcW w:type="dxa" w:w="61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 negar provimento e manter fls. 3435/3437 e-SAJ; (ii) reconhecer preclusão dos critérios; (iii) multa por litigância de má-fé contra os agravantes (fls. 109 do AI)</w:t>
            </w:r>
          </w:p>
        </w:tc>
        <w:tc>
          <w:tcPr>
            <w:tcW w:type="dxa" w:w="8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14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Documentos novos</w:t>
            </w:r>
          </w:p>
        </w:tc>
        <w:tc>
          <w:tcPr>
            <w:tcW w:type="dxa" w:w="61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Nenhum anexo autônomo. Há reproduções em imagem de fls. 1057, 3066 e 3441 e-SAJ dentro do texto</w:t>
            </w:r>
          </w:p>
        </w:tc>
        <w:tc>
          <w:tcPr>
            <w:tcW w:type="dxa" w:w="8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214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Jurisprudência citada</w:t>
            </w:r>
          </w:p>
        </w:tc>
        <w:tc>
          <w:tcPr>
            <w:tcW w:type="dxa" w:w="611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Nenhuma.</w:t>
            </w:r>
            <w:r>
              <w:rPr>
                <w:rFonts w:ascii="Times New Roman" w:cs="Times New Roman" w:eastAsia="Times New Roman" w:hAnsi="Times New Roman"/>
                <w:b w:val="false"/>
                <w:bCs w:val="false"/>
                <w:i w:val="false"/>
                <w:iCs w:val="false"/>
                <w:sz w:val="19"/>
                <w:szCs w:val="19"/>
              </w:rPr>
              <w:t xml:space="preserve"> Invoca "o STJ" sem indicar julgado (fls. 109/110 do AI)</w:t>
            </w:r>
          </w:p>
        </w:tc>
        <w:tc>
          <w:tcPr>
            <w:tcW w:type="dxa" w:w="81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bl>
    <w:p>
      <w:pPr>
        <w:spacing w:after="120"/>
      </w:pP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3. Cabimento e forma da resposta</w:t>
      </w:r>
    </w:p>
    <w:p>
      <w:pPr>
        <w:spacing w:after="120" w:line="360"/>
        <w:jc w:val="both"/>
      </w:pPr>
      <w:r>
        <w:rPr>
          <w:rFonts w:ascii="Times New Roman" w:cs="Times New Roman" w:eastAsia="Times New Roman" w:hAnsi="Times New Roman"/>
          <w:b/>
          <w:bCs/>
          <w:i w:val="false"/>
          <w:iCs w:val="false"/>
        </w:rPr>
        <w:t xml:space="preserve">3.1. Não existe "réplica" no agravo de instrumento.</w:t>
      </w:r>
      <w:r>
        <w:rPr>
          <w:rFonts w:ascii="Times New Roman" w:cs="Times New Roman" w:eastAsia="Times New Roman" w:hAnsi="Times New Roman"/>
          <w:b w:val="false"/>
          <w:bCs w:val="false"/>
          <w:i w:val="false"/>
          <w:iCs w:val="false"/>
        </w:rPr>
        <w:t xml:space="preserve"> O CPC prevê a resposta do agravado (art. 1.019, II) e não uma nova manifestação do agravante. Por isso, a peça não deve ter a forma de réplica geral. Deve apoiar-se em quatro fundamentos autônomos, que a tornam admissível:</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Arts. 9º e 10 do CPC:</w:t>
      </w:r>
      <w:r>
        <w:rPr>
          <w:rFonts w:ascii="Times New Roman" w:cs="Times New Roman" w:eastAsia="Times New Roman" w:hAnsi="Times New Roman"/>
          <w:b w:val="false"/>
          <w:bCs w:val="false"/>
          <w:i w:val="false"/>
          <w:iCs w:val="false"/>
        </w:rPr>
        <w:t xml:space="preserve"> a contraminuta formulou </w:t>
      </w:r>
      <w:r>
        <w:rPr>
          <w:rFonts w:ascii="Times New Roman" w:cs="Times New Roman" w:eastAsia="Times New Roman" w:hAnsi="Times New Roman"/>
          <w:b/>
          <w:bCs/>
          <w:i w:val="false"/>
          <w:iCs w:val="false"/>
        </w:rPr>
        <w:t xml:space="preserve">pedido novo</w:t>
      </w:r>
      <w:r>
        <w:rPr>
          <w:rFonts w:ascii="Times New Roman" w:cs="Times New Roman" w:eastAsia="Times New Roman" w:hAnsi="Times New Roman"/>
          <w:b w:val="false"/>
          <w:bCs w:val="false"/>
          <w:i w:val="false"/>
          <w:iCs w:val="false"/>
        </w:rPr>
        <w:t xml:space="preserve"> de condenação dos agravantes por litigância de má-fé. Nenhuma decisão pode ser proferida contra a parte sem que ela seja ouvida.</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Art. 435 do CPC:</w:t>
      </w:r>
      <w:r>
        <w:rPr>
          <w:rFonts w:ascii="Times New Roman" w:cs="Times New Roman" w:eastAsia="Times New Roman" w:hAnsi="Times New Roman"/>
          <w:b w:val="false"/>
          <w:bCs w:val="false"/>
          <w:i w:val="false"/>
          <w:iCs w:val="false"/>
        </w:rPr>
        <w:t xml:space="preserve"> é lícito juntar documentos "para contrapô-los aos que foram produzidos nos autos" ou para provar fatos articulados depois. A afirmação "não houve embargos" (fls. 104 do AI) é fato novo articulado pelo agravado, e as peças dos embargos o desmentem.</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Art. 77, I, e art. 80, II, do CPC:</w:t>
      </w:r>
      <w:r>
        <w:rPr>
          <w:rFonts w:ascii="Times New Roman" w:cs="Times New Roman" w:eastAsia="Times New Roman" w:hAnsi="Times New Roman"/>
          <w:b w:val="false"/>
          <w:bCs w:val="false"/>
          <w:i w:val="false"/>
          <w:iCs w:val="false"/>
        </w:rPr>
        <w:t xml:space="preserve"> dever de expor os fatos conforme a verdade. A correção de afirmação falsa em peça do adversário é providência de lealdade processual.</w:t>
      </w:r>
    </w:p>
    <w:p>
      <w:pPr>
        <w:pStyle w:val="ListParagraph"/>
        <w:numPr>
          <w:ilvl w:val="0"/>
          <w:numId w:val="4"/>
        </w:numPr>
        <w:spacing w:after="80" w:line="340"/>
        <w:jc w:val="both"/>
      </w:pPr>
      <w:r>
        <w:rPr>
          <w:rFonts w:ascii="Times New Roman" w:cs="Times New Roman" w:eastAsia="Times New Roman" w:hAnsi="Times New Roman"/>
          <w:b/>
          <w:bCs/>
          <w:i w:val="false"/>
          <w:iCs w:val="false"/>
        </w:rPr>
        <w:t xml:space="preserve">Art. 437, § 1º, do CPC:</w:t>
      </w:r>
      <w:r>
        <w:rPr>
          <w:rFonts w:ascii="Times New Roman" w:cs="Times New Roman" w:eastAsia="Times New Roman" w:hAnsi="Times New Roman"/>
          <w:b w:val="false"/>
          <w:bCs w:val="false"/>
          <w:i w:val="false"/>
          <w:iCs w:val="false"/>
        </w:rPr>
        <w:t xml:space="preserve"> juntado documento, a parte contrária terá vista por 15 dias. ⚠️ Isso pode </w:t>
      </w:r>
      <w:r>
        <w:rPr>
          <w:rFonts w:ascii="Times New Roman" w:cs="Times New Roman" w:eastAsia="Times New Roman" w:hAnsi="Times New Roman"/>
          <w:b/>
          <w:bCs/>
          <w:i w:val="false"/>
          <w:iCs w:val="false"/>
        </w:rPr>
        <w:t xml:space="preserve">adiar</w:t>
      </w:r>
      <w:r>
        <w:rPr>
          <w:rFonts w:ascii="Times New Roman" w:cs="Times New Roman" w:eastAsia="Times New Roman" w:hAnsi="Times New Roman"/>
          <w:b w:val="false"/>
          <w:bCs w:val="false"/>
          <w:i w:val="false"/>
          <w:iCs w:val="false"/>
        </w:rPr>
        <w:t xml:space="preserve"> o julgamento. Alternativa: citar as folhas da origem sem juntar cópia, porque são peças já existentes nos autos de origem, de acesso da Câmara. </w:t>
      </w:r>
      <w:r>
        <w:rPr>
          <w:rFonts w:ascii="Times New Roman" w:cs="Times New Roman" w:eastAsia="Times New Roman" w:hAnsi="Times New Roman"/>
          <w:b/>
          <w:bCs/>
          <w:i w:val="false"/>
          <w:iCs w:val="false"/>
        </w:rPr>
        <w:t xml:space="preserve">Recomendação:</w:t>
      </w:r>
      <w:r>
        <w:rPr>
          <w:rFonts w:ascii="Times New Roman" w:cs="Times New Roman" w:eastAsia="Times New Roman" w:hAnsi="Times New Roman"/>
          <w:b w:val="false"/>
          <w:bCs w:val="false"/>
          <w:i w:val="false"/>
          <w:iCs w:val="false"/>
        </w:rPr>
        <w:t xml:space="preserve"> juntar só as 6 folhas essenciais (seção 7). O ganho probatório compensa o risco de 15 dias, e a Relatora pode dispensar a vista por se tratar de peças já constantes dos autos.</w:t>
      </w:r>
    </w:p>
    <w:p>
      <w:pPr>
        <w:spacing w:after="120" w:line="360"/>
        <w:jc w:val="both"/>
      </w:pPr>
      <w:r>
        <w:rPr>
          <w:rFonts w:ascii="Times New Roman" w:cs="Times New Roman" w:eastAsia="Times New Roman" w:hAnsi="Times New Roman"/>
          <w:b/>
          <w:bCs/>
          <w:i w:val="false"/>
          <w:iCs w:val="false"/>
        </w:rPr>
        <w:t xml:space="preserve">3.2. Título sugerido:</w:t>
      </w:r>
      <w:r>
        <w:rPr>
          <w:rFonts w:ascii="Times New Roman" w:cs="Times New Roman" w:eastAsia="Times New Roman" w:hAnsi="Times New Roman"/>
          <w:b w:val="false"/>
          <w:bCs w:val="false"/>
          <w:i w:val="false"/>
          <w:iCs w:val="false"/>
        </w:rPr>
        <w:t xml:space="preserve"> "MANIFESTAÇÃO SOBRE A CONTRAMINUTA E SOBRE O PEDIDO DE CONDENAÇÃO POR LITIGÂNCIA DE MÁ-FÉ, COM JUNTADA DE DOCUMENTOS (arts. 9º, 10, 77, I, 435 e 437, § 1º, do CPC)".</w:t>
      </w:r>
    </w:p>
    <w:p>
      <w:pPr>
        <w:spacing w:after="120" w:line="360"/>
        <w:jc w:val="both"/>
      </w:pPr>
      <w:r>
        <w:rPr>
          <w:rFonts w:ascii="Times New Roman" w:cs="Times New Roman" w:eastAsia="Times New Roman" w:hAnsi="Times New Roman"/>
          <w:b/>
          <w:bCs/>
          <w:i w:val="false"/>
          <w:iCs w:val="false"/>
        </w:rPr>
        <w:t xml:space="preserve">3.3. Momento.</w:t>
      </w:r>
      <w:r>
        <w:rPr>
          <w:rFonts w:ascii="Times New Roman" w:cs="Times New Roman" w:eastAsia="Times New Roman" w:hAnsi="Times New Roman"/>
          <w:b w:val="false"/>
          <w:bCs w:val="false"/>
          <w:i w:val="false"/>
          <w:iCs w:val="false"/>
        </w:rPr>
        <w:t xml:space="preserve"> O processo está concluso desde 26/08/2026 e ainda sem pauta publicada nos arquivos recebidos. Pela Resolução TJSP 984/2025 (arts. 5º e 9º), a pauta sai no DJEN com antecedência mínima de 5 dias úteis. Protocolar a manifestação </w:t>
      </w:r>
      <w:r>
        <w:rPr>
          <w:rFonts w:ascii="Times New Roman" w:cs="Times New Roman" w:eastAsia="Times New Roman" w:hAnsi="Times New Roman"/>
          <w:b/>
          <w:bCs/>
          <w:i w:val="false"/>
          <w:iCs w:val="false"/>
        </w:rPr>
        <w:t xml:space="preserve">antes</w:t>
      </w:r>
      <w:r>
        <w:rPr>
          <w:rFonts w:ascii="Times New Roman" w:cs="Times New Roman" w:eastAsia="Times New Roman" w:hAnsi="Times New Roman"/>
          <w:b w:val="false"/>
          <w:bCs w:val="false"/>
          <w:i w:val="false"/>
          <w:iCs w:val="false"/>
        </w:rPr>
        <w:t xml:space="preserve"> da pauta. Depois dela, restam os memoriais, a objeção do art. 11, II (até 48 horas antes, com deferimento da Relatora) e o esclarecimento de fato do art. 12, § 6º, durante a sessão.</w:t>
      </w:r>
    </w:p>
    <w:p>
      <w:pPr>
        <w:spacing w:after="120" w:line="360"/>
        <w:jc w:val="both"/>
      </w:pPr>
      <w:r>
        <w:rPr>
          <w:rFonts w:ascii="Times New Roman" w:cs="Times New Roman" w:eastAsia="Times New Roman" w:hAnsi="Times New Roman"/>
          <w:b/>
          <w:bCs/>
          <w:i w:val="false"/>
          <w:iCs w:val="false"/>
        </w:rPr>
        <w:t xml:space="preserve">3.4. Tamanho e tom.</w:t>
      </w:r>
      <w:r>
        <w:rPr>
          <w:rFonts w:ascii="Times New Roman" w:cs="Times New Roman" w:eastAsia="Times New Roman" w:hAnsi="Times New Roman"/>
          <w:b w:val="false"/>
          <w:bCs w:val="false"/>
          <w:i w:val="false"/>
          <w:iCs w:val="false"/>
        </w:rPr>
        <w:t xml:space="preserve"> A peça deve ser curta, objetiva e documental. Cada afirmação deve ter a folha nas duas numerações. Evitar adjetivos. A contraminuta usa "ardilosamente" (fls. 100 do AI) e "tentativa desesperada" (fls. 108 do AI). Responder com documentos, não com o mesmo tom.</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4. Mapa da contraminuta: argumento por argumento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11"/>
        <w:gridCol w:w="934"/>
        <w:gridCol w:w="2335"/>
        <w:gridCol w:w="2335"/>
        <w:gridCol w:w="817"/>
        <w:gridCol w:w="2339"/>
      </w:tblGrid>
      <w:tr>
        <w:trPr>
          <w:cantSplit/>
          <w:tblHeader/>
        </w:trPr>
        <w:tc>
          <w:tcPr>
            <w:tcW w:type="dxa" w:w="31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w:t>
            </w:r>
          </w:p>
        </w:tc>
        <w:tc>
          <w:tcPr>
            <w:tcW w:type="dxa" w:w="93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fls. do AI</w:t>
            </w:r>
          </w:p>
        </w:tc>
        <w:tc>
          <w:tcPr>
            <w:tcW w:type="dxa" w:w="233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Alegação do agravado</w:t>
            </w:r>
          </w:p>
        </w:tc>
        <w:tc>
          <w:tcPr>
            <w:tcW w:type="dxa" w:w="233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Verificação</w:t>
            </w:r>
          </w:p>
        </w:tc>
        <w:tc>
          <w:tcPr>
            <w:tcW w:type="dxa" w:w="81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c>
          <w:tcPr>
            <w:tcW w:type="dxa" w:w="233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Resposta e prova</w:t>
            </w:r>
          </w:p>
        </w:tc>
      </w:tr>
      <w:tr>
        <w:trPr>
          <w:cantSplit/>
          <w:tblHeader w:val="false"/>
        </w:trPr>
        <w:tc>
          <w:tcPr>
            <w:tcW w:type="dxa" w:w="3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9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95</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"contra a r. decisão de fls. ,"</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Folha em branco. Defeito formal sem consequência</w:t>
            </w:r>
          </w:p>
        </w:tc>
        <w:tc>
          <w:tcPr>
            <w:tcW w:type="dxa" w:w="8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Não explorar</w:t>
            </w:r>
          </w:p>
        </w:tc>
      </w:tr>
      <w:tr>
        <w:trPr>
          <w:cantSplit/>
          <w:tblHeader w:val="false"/>
        </w:trPr>
        <w:tc>
          <w:tcPr>
            <w:tcW w:type="dxa" w:w="3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9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96</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Cessão a pessoas físicas em 31/03/2010</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Confere: fls. 655/660 e-SAJ / 537/542 física</w:t>
            </w:r>
          </w:p>
        </w:tc>
        <w:tc>
          <w:tcPr>
            <w:tcW w:type="dxa" w:w="8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Aceitar</w:t>
            </w:r>
          </w:p>
        </w:tc>
      </w:tr>
      <w:tr>
        <w:trPr>
          <w:cantSplit/>
          <w:tblHeader w:val="false"/>
        </w:trPr>
        <w:tc>
          <w:tcPr>
            <w:tcW w:type="dxa" w:w="3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9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97 e 98</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Agravantes "anuíram e concordaram expressamente" com fls. 3064/3066 ao peticionar em 04/06/2025 (fls. 3077/3078)</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petição de fls. 3077 e-SAJ (digital; datada de 04/06/2025, protocolada em 13/06/2025) diz só "em atendimento a r. decisão de fls. , requerer a juntada da planilha de cálculos devidamente atualizada". </w:t>
            </w:r>
            <w:r>
              <w:rPr>
                <w:rFonts w:ascii="Times New Roman" w:cs="Times New Roman" w:eastAsia="Times New Roman" w:hAnsi="Times New Roman"/>
                <w:b/>
                <w:bCs/>
                <w:i w:val="false"/>
                <w:iCs w:val="false"/>
                <w:sz w:val="19"/>
                <w:szCs w:val="19"/>
              </w:rPr>
              <w:t xml:space="preserve">Não há concordância expressa</w:t>
            </w:r>
          </w:p>
        </w:tc>
        <w:tc>
          <w:tcPr>
            <w:tcW w:type="dxa" w:w="8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Transcrever fls. 3077 na íntegra. Art. 1.000, p.u. (aceitação tácita exige ato "sem nenhuma reserva" e "incompatível com a vontade de recorrer"); REsp 2.018.575/PR; EDcl no REsp 2.178.097/RS; REsp 1.655.655/SP (seção 8)</w:t>
            </w:r>
          </w:p>
        </w:tc>
      </w:tr>
      <w:tr>
        <w:trPr>
          <w:cantSplit/>
          <w:tblHeader w:val="false"/>
        </w:trPr>
        <w:tc>
          <w:tcPr>
            <w:tcW w:type="dxa" w:w="3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9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98</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Decisão de fls. 3064/3066 publicada (fls. 3075) e não impugnada; art. 507</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publicação em fls. 3075 não foi conferida. A ausência de agravo dos exequentes é verdadeira</w:t>
            </w:r>
          </w:p>
        </w:tc>
        <w:tc>
          <w:tcPr>
            <w:tcW w:type="dxa" w:w="8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5.E: coisa julgada material de 1991/1993 prevalece; fls. 3066 decidiu "matéria nova" em embargos de declaração rejeitados (fls. 3065 e-SAJ); AI 2236642: "única tese", "indevida inovação"</w:t>
            </w:r>
          </w:p>
        </w:tc>
      </w:tr>
      <w:tr>
        <w:trPr>
          <w:cantSplit/>
          <w:tblHeader w:val="false"/>
        </w:trPr>
        <w:tc>
          <w:tcPr>
            <w:tcW w:type="dxa" w:w="3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9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99 e 100</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3064/3066 "apenas fixou as premissas metodológicas" e "não desconsiderou o saldo homologado em 1995"</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Contradição interna.</w:t>
            </w:r>
            <w:r>
              <w:rPr>
                <w:rFonts w:ascii="Times New Roman" w:cs="Times New Roman" w:eastAsia="Times New Roman" w:hAnsi="Times New Roman"/>
                <w:b w:val="false"/>
                <w:bCs w:val="false"/>
                <w:i w:val="false"/>
                <w:iCs w:val="false"/>
                <w:sz w:val="19"/>
                <w:szCs w:val="19"/>
              </w:rPr>
              <w:t xml:space="preserve"> Se não desconsiderou o saldo de 1995, esse saldo vale. Mas fls. 3066 manda partir do principal de maio/1987, e a própria contraminuta diz em fls. 102 que "a conta elaborada em 1995 não consolida o quantum"</w:t>
            </w:r>
          </w:p>
        </w:tc>
        <w:tc>
          <w:tcPr>
            <w:tcW w:type="dxa" w:w="8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Explorar a contradição em dois parágrafos, com transcrição de fls. 100 e 102 do AI</w:t>
            </w:r>
          </w:p>
        </w:tc>
      </w:tr>
      <w:tr>
        <w:trPr>
          <w:cantSplit/>
          <w:tblHeader w:val="false"/>
        </w:trPr>
        <w:tc>
          <w:tcPr>
            <w:tcW w:type="dxa" w:w="3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9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100</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Agravantes pretendem "ardilosamente" partir do valor de 1995 "retroagindo a partir de maio de 1987"</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Errado. A planilha de fls. 3419 e-SAJ (digital) parte do saldo de 05/10/1995 e aplica juros simples daí em diante</w:t>
            </w:r>
          </w:p>
        </w:tc>
        <w:tc>
          <w:tcPr>
            <w:tcW w:type="dxa" w:w="8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Descrever o método de fls. 3419 em uma frase. Não responder ao adjetivo</w:t>
            </w:r>
          </w:p>
        </w:tc>
      </w:tr>
      <w:tr>
        <w:trPr>
          <w:cantSplit/>
          <w:tblHeader w:val="false"/>
        </w:trPr>
        <w:tc>
          <w:tcPr>
            <w:tcW w:type="dxa" w:w="3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w:t>
            </w:r>
          </w:p>
        </w:tc>
        <w:tc>
          <w:tcPr>
            <w:tcW w:type="dxa" w:w="9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100, 102, 105, 106 e 111</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Em execução de título extrajudicial "não há que se falar em decisão homologatória de débito"; a conta de 1995 "não consolida o quantum ou atrai estabilidade"</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Falso diante da sentença de 1991</w:t>
            </w:r>
            <w:r>
              <w:rPr>
                <w:rFonts w:ascii="Times New Roman" w:cs="Times New Roman" w:eastAsia="Times New Roman" w:hAnsi="Times New Roman"/>
                <w:b w:val="false"/>
                <w:bCs w:val="false"/>
                <w:i w:val="false"/>
                <w:iCs w:val="false"/>
                <w:sz w:val="19"/>
                <w:szCs w:val="19"/>
              </w:rPr>
              <w:t xml:space="preserve">, que mandou o valor ser "apurado por cálculo a ser elaborado pelo Juízo (…) homologado por decisão" (fls. 2178 e-SAJ / fls. 39 física). A homologação de 1995 cumpriu esse comando. O STJ trata a homologação de cálculos em execução como decisão sujeita a preclusão (AgInt no REsp 1.455.741/DF, execução por quantia certa)</w:t>
            </w:r>
          </w:p>
        </w:tc>
        <w:tc>
          <w:tcPr>
            <w:tcW w:type="dxa" w:w="8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5.B</w:t>
            </w:r>
          </w:p>
        </w:tc>
      </w:tr>
      <w:tr>
        <w:trPr>
          <w:cantSplit/>
          <w:tblHeader w:val="false"/>
        </w:trPr>
        <w:tc>
          <w:tcPr>
            <w:tcW w:type="dxa" w:w="3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w:t>
            </w:r>
          </w:p>
        </w:tc>
        <w:tc>
          <w:tcPr>
            <w:tcW w:type="dxa" w:w="9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101</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Decisão de 27/04/2017 (fls. 1057 e-SAJ / 913 física, Juiz Cristiano Canezin Barbosa): "não há que se falar em conta de liquidação a ser homologada"</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Confere com a imagem reproduzida. Contexto: a decisão </w:t>
            </w:r>
            <w:r>
              <w:rPr>
                <w:rFonts w:ascii="Times New Roman" w:cs="Times New Roman" w:eastAsia="Times New Roman" w:hAnsi="Times New Roman"/>
                <w:b/>
                <w:bCs/>
                <w:i w:val="false"/>
                <w:iCs w:val="false"/>
                <w:sz w:val="19"/>
                <w:szCs w:val="19"/>
              </w:rPr>
              <w:t xml:space="preserve">indeferiu pedido do executado</w:t>
            </w:r>
            <w:r>
              <w:rPr>
                <w:rFonts w:ascii="Times New Roman" w:cs="Times New Roman" w:eastAsia="Times New Roman" w:hAnsi="Times New Roman"/>
                <w:b w:val="false"/>
                <w:bCs w:val="false"/>
                <w:i w:val="false"/>
                <w:iCs w:val="false"/>
                <w:sz w:val="19"/>
                <w:szCs w:val="19"/>
              </w:rPr>
              <w:t xml:space="preserve"> de remessa ao contador e disse que, havendo discordância sobre critérios, "caberá a intervenção do juízo". Não anulou a homologação de 1995 nem fixou outro critério</w:t>
            </w:r>
          </w:p>
        </w:tc>
        <w:tc>
          <w:tcPr>
            <w:tcW w:type="dxa" w:w="8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decisão de 2017 prova que, até 2025, nenhuma decisão havia fixado critério diferente do de 1995. O primeiro ato a fazê-lo foi fls. 3066, sem contraditório (arts. 9º e 10)</w:t>
            </w:r>
          </w:p>
        </w:tc>
      </w:tr>
      <w:tr>
        <w:trPr>
          <w:cantSplit/>
          <w:tblHeader w:val="false"/>
        </w:trPr>
        <w:tc>
          <w:tcPr>
            <w:tcW w:type="dxa" w:w="3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w:t>
            </w:r>
          </w:p>
        </w:tc>
        <w:tc>
          <w:tcPr>
            <w:tcW w:type="dxa" w:w="9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103</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"Insubsistente a alegação de que os valores permaneceram estáveis por 3 décadas", porque os agravantes apresentaram fls. 3077 com valor menor que o de 1995</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Toca o ponto fraco do </w:t>
            </w:r>
            <w:r>
              <w:rPr>
                <w:rFonts w:ascii="Times New Roman" w:cs="Times New Roman" w:eastAsia="Times New Roman" w:hAnsi="Times New Roman"/>
                <w:b w:val="false"/>
                <w:bCs w:val="false"/>
                <w:i/>
                <w:iCs/>
                <w:sz w:val="19"/>
                <w:szCs w:val="19"/>
              </w:rPr>
              <w:t xml:space="preserve">venire</w:t>
            </w:r>
            <w:r>
              <w:rPr>
                <w:rFonts w:ascii="Times New Roman" w:cs="Times New Roman" w:eastAsia="Times New Roman" w:hAnsi="Times New Roman"/>
                <w:b w:val="false"/>
                <w:bCs w:val="false"/>
                <w:i w:val="false"/>
                <w:iCs w:val="false"/>
                <w:sz w:val="19"/>
                <w:szCs w:val="19"/>
              </w:rPr>
              <w:t xml:space="preserve"> (planilhas desde 1987). Mas a contraminuta explora pouco</w:t>
            </w:r>
          </w:p>
        </w:tc>
        <w:tc>
          <w:tcPr>
            <w:tcW w:type="dxa" w:w="8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Não ampliar. Responder só que planilha em cumprimento de ordem não é renúncia (art. 114 CC; art. 1.000, p.u.) e que nenhuma planilha posterior foi homologada (fls. 3041 e-SAJ)</w:t>
            </w:r>
          </w:p>
        </w:tc>
      </w:tr>
      <w:tr>
        <w:trPr>
          <w:cantSplit/>
          <w:tblHeader w:val="false"/>
        </w:trPr>
        <w:tc>
          <w:tcPr>
            <w:tcW w:type="dxa" w:w="3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w:t>
            </w:r>
          </w:p>
        </w:tc>
        <w:tc>
          <w:tcPr>
            <w:tcW w:type="dxa" w:w="9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103</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agravante poderia ter cumprido o comando (…) e interposto recurso próprio (…) entretanto não o fez, precluindo sua irresignação"</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Argumento mais forte da contraminuta.</w:t>
            </w:r>
            <w:r>
              <w:rPr>
                <w:rFonts w:ascii="Times New Roman" w:cs="Times New Roman" w:eastAsia="Times New Roman" w:hAnsi="Times New Roman"/>
                <w:b w:val="false"/>
                <w:bCs w:val="false"/>
                <w:i w:val="false"/>
                <w:iCs w:val="false"/>
                <w:sz w:val="19"/>
                <w:szCs w:val="19"/>
              </w:rPr>
              <w:t xml:space="preserve"> Convergente com o AgInt no REsp 1.455.741/DF</w:t>
            </w:r>
          </w:p>
        </w:tc>
        <w:tc>
          <w:tcPr>
            <w:tcW w:type="dxa" w:w="8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5.E</w:t>
            </w:r>
          </w:p>
        </w:tc>
      </w:tr>
      <w:tr>
        <w:trPr>
          <w:cantSplit/>
          <w:tblHeader w:val="false"/>
        </w:trPr>
        <w:tc>
          <w:tcPr>
            <w:tcW w:type="dxa" w:w="3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11</w:t>
            </w:r>
          </w:p>
        </w:tc>
        <w:tc>
          <w:tcPr>
            <w:tcW w:type="dxa" w:w="9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104</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"observando-se que não houve embargos à execução, portanto, não houve modificação do valor do título"</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FALSO.</w:t>
            </w:r>
            <w:r>
              <w:rPr>
                <w:rFonts w:ascii="Times New Roman" w:cs="Times New Roman" w:eastAsia="Times New Roman" w:hAnsi="Times New Roman"/>
                <w:b w:val="false"/>
                <w:bCs w:val="false"/>
                <w:i w:val="false"/>
                <w:iCs w:val="false"/>
                <w:sz w:val="19"/>
                <w:szCs w:val="19"/>
              </w:rPr>
              <w:t xml:space="preserve"> Embargos: sentença de 03/05/1991 (fls. 2156/2184 e-SAJ / fls. 28/42 física); acórdão de 05/10/1993 (fls. 2144/2150 e-SAJ / fls. 153/156 física); trânsito em 10/11/1993 (fls. 2154 e-SAJ / fls. 158 física); apensamento (fls. 69 e-SAJ / 36 física); admissão do próprio executado em 02/05/2024 (fls. 1419/1421 e-SAJ, digital); decisão de fls. 3038 e-SAJ: "Houve oposição de embargos do devedor (…) que foi julgado"</w:t>
            </w:r>
          </w:p>
        </w:tc>
        <w:tc>
          <w:tcPr>
            <w:tcW w:type="dxa" w:w="8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5.A</w:t>
            </w:r>
          </w:p>
        </w:tc>
      </w:tr>
      <w:tr>
        <w:trPr>
          <w:cantSplit/>
          <w:tblHeader w:val="false"/>
        </w:trPr>
        <w:tc>
          <w:tcPr>
            <w:tcW w:type="dxa" w:w="3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w:t>
            </w:r>
          </w:p>
        </w:tc>
        <w:tc>
          <w:tcPr>
            <w:tcW w:type="dxa" w:w="9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104 e 105</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"Princípio da fidelidade ao título": a atualização é só "índice do TJ" mais juros</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 título, depois dos embargos, é a cédula </w:t>
            </w:r>
            <w:r>
              <w:rPr>
                <w:rFonts w:ascii="Times New Roman" w:cs="Times New Roman" w:eastAsia="Times New Roman" w:hAnsi="Times New Roman"/>
                <w:b/>
                <w:bCs/>
                <w:i w:val="false"/>
                <w:iCs w:val="false"/>
                <w:sz w:val="19"/>
                <w:szCs w:val="19"/>
              </w:rPr>
              <w:t xml:space="preserve">somada</w:t>
            </w:r>
            <w:r>
              <w:rPr>
                <w:rFonts w:ascii="Times New Roman" w:cs="Times New Roman" w:eastAsia="Times New Roman" w:hAnsi="Times New Roman"/>
                <w:b w:val="false"/>
                <w:bCs w:val="false"/>
                <w:i w:val="false"/>
                <w:iCs w:val="false"/>
                <w:sz w:val="19"/>
                <w:szCs w:val="19"/>
              </w:rPr>
              <w:t xml:space="preserve"> à sentença que validou taxa (57,18% a.a.), mora (1% a.m.), multa (10%), forma de contagem e honorários (20%)</w:t>
            </w:r>
          </w:p>
        </w:tc>
        <w:tc>
          <w:tcPr>
            <w:tcW w:type="dxa" w:w="8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fidelidade ao título exige respeitar a coisa julgada. Seção 5.B</w:t>
            </w:r>
          </w:p>
        </w:tc>
      </w:tr>
      <w:tr>
        <w:trPr>
          <w:cantSplit/>
          <w:tblHeader w:val="false"/>
        </w:trPr>
        <w:tc>
          <w:tcPr>
            <w:tcW w:type="dxa" w:w="3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w:t>
            </w:r>
          </w:p>
        </w:tc>
        <w:tc>
          <w:tcPr>
            <w:tcW w:type="dxa" w:w="9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106</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Referência à "cédula de credito rural"</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Erro: é </w:t>
            </w:r>
            <w:r>
              <w:rPr>
                <w:rFonts w:ascii="Times New Roman" w:cs="Times New Roman" w:eastAsia="Times New Roman" w:hAnsi="Times New Roman"/>
                <w:b/>
                <w:bCs/>
                <w:i w:val="false"/>
                <w:iCs w:val="false"/>
                <w:sz w:val="19"/>
                <w:szCs w:val="19"/>
              </w:rPr>
              <w:t xml:space="preserve">cédula de crédito industrial</w:t>
            </w:r>
            <w:r>
              <w:rPr>
                <w:rFonts w:ascii="Times New Roman" w:cs="Times New Roman" w:eastAsia="Times New Roman" w:hAnsi="Times New Roman"/>
                <w:b w:val="false"/>
                <w:bCs w:val="false"/>
                <w:i w:val="false"/>
                <w:iCs w:val="false"/>
                <w:sz w:val="19"/>
                <w:szCs w:val="19"/>
              </w:rPr>
              <w:t xml:space="preserve"> (fls. 39 e-SAJ / 12 física; DL 413/69)</w:t>
            </w:r>
          </w:p>
        </w:tc>
        <w:tc>
          <w:tcPr>
            <w:tcW w:type="dxa" w:w="8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Uma linha, só para mostrar a falta de rigor</w:t>
            </w:r>
          </w:p>
        </w:tc>
      </w:tr>
      <w:tr>
        <w:trPr>
          <w:cantSplit/>
          <w:tblHeader w:val="false"/>
        </w:trPr>
        <w:tc>
          <w:tcPr>
            <w:tcW w:type="dxa" w:w="3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w:t>
            </w:r>
          </w:p>
        </w:tc>
        <w:tc>
          <w:tcPr>
            <w:tcW w:type="dxa" w:w="9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107 e 108</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3038/3044: cessionários pessoas físicas não cobram juros e encargos do cedente; Lei de Usura; </w:t>
            </w:r>
            <w:r>
              <w:rPr>
                <w:rFonts w:ascii="Times New Roman" w:cs="Times New Roman" w:eastAsia="Times New Roman" w:hAnsi="Times New Roman"/>
                <w:b/>
                <w:bCs/>
                <w:i w:val="false"/>
                <w:iCs w:val="false"/>
                <w:sz w:val="19"/>
                <w:szCs w:val="19"/>
              </w:rPr>
              <w:t xml:space="preserve">"Dessa decisão não houve recurso"</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A decisão de fls. 3038/3044 tratou de encargos </w:t>
            </w:r>
            <w:r>
              <w:rPr>
                <w:rFonts w:ascii="Times New Roman" w:cs="Times New Roman" w:eastAsia="Times New Roman" w:hAnsi="Times New Roman"/>
                <w:b/>
                <w:bCs/>
                <w:i w:val="false"/>
                <w:iCs w:val="false"/>
                <w:sz w:val="19"/>
                <w:szCs w:val="19"/>
              </w:rPr>
              <w:t xml:space="preserve">posteriores</w:t>
            </w:r>
            <w:r>
              <w:rPr>
                <w:rFonts w:ascii="Times New Roman" w:cs="Times New Roman" w:eastAsia="Times New Roman" w:hAnsi="Times New Roman"/>
                <w:b w:val="false"/>
                <w:bCs w:val="false"/>
                <w:i w:val="false"/>
                <w:iCs w:val="false"/>
                <w:sz w:val="19"/>
                <w:szCs w:val="19"/>
              </w:rPr>
              <w:t xml:space="preserve"> à cessão de 2010 e </w:t>
            </w:r>
            <w:r>
              <w:rPr>
                <w:rFonts w:ascii="Times New Roman" w:cs="Times New Roman" w:eastAsia="Times New Roman" w:hAnsi="Times New Roman"/>
                <w:b/>
                <w:bCs/>
                <w:i w:val="false"/>
                <w:iCs w:val="false"/>
                <w:sz w:val="19"/>
                <w:szCs w:val="19"/>
              </w:rPr>
              <w:t xml:space="preserve">rejeitou</w:t>
            </w:r>
            <w:r>
              <w:rPr>
                <w:rFonts w:ascii="Times New Roman" w:cs="Times New Roman" w:eastAsia="Times New Roman" w:hAnsi="Times New Roman"/>
                <w:b w:val="false"/>
                <w:bCs w:val="false"/>
                <w:i w:val="false"/>
                <w:iCs w:val="false"/>
                <w:sz w:val="19"/>
                <w:szCs w:val="19"/>
              </w:rPr>
              <w:t xml:space="preserve"> a exceção do executado. (b) </w:t>
            </w:r>
            <w:r>
              <w:rPr>
                <w:rFonts w:ascii="Times New Roman" w:cs="Times New Roman" w:eastAsia="Times New Roman" w:hAnsi="Times New Roman"/>
                <w:b/>
                <w:bCs/>
                <w:i w:val="false"/>
                <w:iCs w:val="false"/>
                <w:sz w:val="19"/>
                <w:szCs w:val="19"/>
              </w:rPr>
              <w:t xml:space="preserve">Houve recurso: o executado agravou</w:t>
            </w:r>
            <w:r>
              <w:rPr>
                <w:rFonts w:ascii="Times New Roman" w:cs="Times New Roman" w:eastAsia="Times New Roman" w:hAnsi="Times New Roman"/>
                <w:b w:val="false"/>
                <w:bCs w:val="false"/>
                <w:i w:val="false"/>
                <w:iCs w:val="false"/>
                <w:sz w:val="19"/>
                <w:szCs w:val="19"/>
              </w:rPr>
              <w:t xml:space="preserve"> (AI 2236642-80.2025, 13ª CDP, j. 07/10/2025, que reduziu a multa de 9% e manteve "no mais" a decisão). A afirmação é falsa. (c) Os encargos de 1987 a 1995 foram cobrados pelo Banespa, validados pela sentença de 1991 e homologados em 1995, quinze anos antes da cessão</w:t>
            </w:r>
          </w:p>
        </w:tc>
        <w:tc>
          <w:tcPr>
            <w:tcW w:type="dxa" w:w="8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5.F</w:t>
            </w:r>
          </w:p>
        </w:tc>
      </w:tr>
      <w:tr>
        <w:trPr>
          <w:cantSplit/>
          <w:tblHeader w:val="false"/>
        </w:trPr>
        <w:tc>
          <w:tcPr>
            <w:tcW w:type="dxa" w:w="3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15</w:t>
            </w:r>
          </w:p>
        </w:tc>
        <w:tc>
          <w:tcPr>
            <w:tcW w:type="dxa" w:w="9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108 e 109</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Agravantes teriam tirado "do contexto" o trecho de fls. 3436; pede multa por litigância de má-fé</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citação do agravo é </w:t>
            </w:r>
            <w:r>
              <w:rPr>
                <w:rFonts w:ascii="Times New Roman" w:cs="Times New Roman" w:eastAsia="Times New Roman" w:hAnsi="Times New Roman"/>
                <w:b/>
                <w:bCs/>
                <w:i w:val="false"/>
                <w:iCs w:val="false"/>
                <w:sz w:val="19"/>
                <w:szCs w:val="19"/>
              </w:rPr>
              <w:t xml:space="preserve">literal</w:t>
            </w:r>
            <w:r>
              <w:rPr>
                <w:rFonts w:ascii="Times New Roman" w:cs="Times New Roman" w:eastAsia="Times New Roman" w:hAnsi="Times New Roman"/>
                <w:b w:val="false"/>
                <w:bCs w:val="false"/>
                <w:i w:val="false"/>
                <w:iCs w:val="false"/>
                <w:sz w:val="19"/>
                <w:szCs w:val="19"/>
              </w:rPr>
              <w:t xml:space="preserve">. A contraminuta, em fls. 109 do AI, transcreve as mesmas palavras. O que o agravo fez foi extrair uma consequência jurídica da frase, o que é argumento e não distorção</w:t>
            </w:r>
          </w:p>
        </w:tc>
        <w:tc>
          <w:tcPr>
            <w:tcW w:type="dxa" w:w="8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(pedido infundado)</w:t>
            </w:r>
          </w:p>
        </w:tc>
        <w:tc>
          <w:tcPr>
            <w:tcW w:type="dxa" w:w="23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5.G</w:t>
            </w:r>
          </w:p>
        </w:tc>
      </w:tr>
      <w:tr>
        <w:trPr>
          <w:cantSplit/>
          <w:tblHeader w:val="false"/>
        </w:trPr>
        <w:tc>
          <w:tcPr>
            <w:tcW w:type="dxa" w:w="3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16</w:t>
            </w:r>
          </w:p>
        </w:tc>
        <w:tc>
          <w:tcPr>
            <w:tcW w:type="dxa" w:w="9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109 e 110</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"Distinguishing": o STJ distingue ausência de definição de critérios e fixação judicial expressa</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Nenhum julgado indicado. Invertendo o argumento, a fixação judicial expressa </w:t>
            </w:r>
            <w:r>
              <w:rPr>
                <w:rFonts w:ascii="Times New Roman" w:cs="Times New Roman" w:eastAsia="Times New Roman" w:hAnsi="Times New Roman"/>
                <w:b/>
                <w:bCs/>
                <w:i w:val="false"/>
                <w:iCs w:val="false"/>
                <w:sz w:val="19"/>
                <w:szCs w:val="19"/>
              </w:rPr>
              <w:t xml:space="preserve">anterior</w:t>
            </w:r>
            <w:r>
              <w:rPr>
                <w:rFonts w:ascii="Times New Roman" w:cs="Times New Roman" w:eastAsia="Times New Roman" w:hAnsi="Times New Roman"/>
                <w:b w:val="false"/>
                <w:bCs w:val="false"/>
                <w:i w:val="false"/>
                <w:iCs w:val="false"/>
                <w:sz w:val="19"/>
                <w:szCs w:val="19"/>
              </w:rPr>
              <w:t xml:space="preserve"> é a sentença de 1991 e a homologação de 1995</w:t>
            </w:r>
          </w:p>
        </w:tc>
        <w:tc>
          <w:tcPr>
            <w:tcW w:type="dxa" w:w="8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5.E, item 4</w:t>
            </w:r>
          </w:p>
        </w:tc>
      </w:tr>
      <w:tr>
        <w:trPr>
          <w:cantSplit/>
          <w:tblHeader w:val="false"/>
        </w:trPr>
        <w:tc>
          <w:tcPr>
            <w:tcW w:type="dxa" w:w="3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17</w:t>
            </w:r>
          </w:p>
        </w:tc>
        <w:tc>
          <w:tcPr>
            <w:tcW w:type="dxa" w:w="9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110</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Pedido de retratação improcedente porque o agravante não anexou as razões na origem, limitando-se a informar o número (fls. 3441 e-SAJ)</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Os autos são eletrônicos. O art. 1.018, § 2º, só obriga a juntada na origem "não sendo eletrônicos os autos", e a sanção do § 3º se refere a esse caso. A petição de fls. 3441 informou o agravo</w:t>
            </w:r>
          </w:p>
        </w:tc>
        <w:tc>
          <w:tcPr>
            <w:tcW w:type="dxa" w:w="8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Um parágrafo. Destacar que fls. 3441 contém </w:t>
            </w:r>
            <w:r>
              <w:rPr>
                <w:rFonts w:ascii="Times New Roman" w:cs="Times New Roman" w:eastAsia="Times New Roman" w:hAnsi="Times New Roman"/>
                <w:b/>
                <w:bCs/>
                <w:i w:val="false"/>
                <w:iCs w:val="false"/>
                <w:sz w:val="19"/>
                <w:szCs w:val="19"/>
              </w:rPr>
              <w:t xml:space="preserve">ressalva expressa</w:t>
            </w:r>
            <w:r>
              <w:rPr>
                <w:rFonts w:ascii="Times New Roman" w:cs="Times New Roman" w:eastAsia="Times New Roman" w:hAnsi="Times New Roman"/>
                <w:b w:val="false"/>
                <w:bCs w:val="false"/>
                <w:i w:val="false"/>
                <w:iCs w:val="false"/>
                <w:sz w:val="19"/>
                <w:szCs w:val="19"/>
              </w:rPr>
              <w:t xml:space="preserve"> do agravo (seção 5.D)</w:t>
            </w:r>
          </w:p>
        </w:tc>
      </w:tr>
      <w:tr>
        <w:trPr>
          <w:cantSplit/>
          <w:tblHeader w:val="false"/>
        </w:trPr>
        <w:tc>
          <w:tcPr>
            <w:tcW w:type="dxa" w:w="311"/>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18</w:t>
            </w:r>
          </w:p>
        </w:tc>
        <w:tc>
          <w:tcPr>
            <w:tcW w:type="dxa" w:w="93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111</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Síntese: parâmetros do título e de decisões anteriores, não impugnados; desnecessidade de homologação</w:t>
            </w:r>
          </w:p>
        </w:tc>
        <w:tc>
          <w:tcPr>
            <w:tcW w:type="dxa" w:w="233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Repete os itens 7, 10 e 12</w:t>
            </w:r>
          </w:p>
        </w:tc>
        <w:tc>
          <w:tcPr>
            <w:tcW w:type="dxa" w:w="8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c>
          <w:tcPr>
            <w:tcW w:type="dxa" w:w="2339"/>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Remeter às respostas anteriores</w:t>
            </w:r>
          </w:p>
        </w:tc>
      </w:tr>
    </w:tbl>
    <w:p>
      <w:pPr>
        <w:spacing w:after="120"/>
      </w:pP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5. Pontos de ataque, em ordem de força</w:t>
      </w:r>
    </w:p>
    <w:p>
      <w:pPr>
        <w:pStyle w:val="Heading2"/>
        <w:keepNext/>
      </w:pPr>
      <w:r>
        <w:rPr>
          <w:rFonts w:ascii="Times New Roman" w:cs="Times New Roman" w:eastAsia="Times New Roman" w:hAnsi="Times New Roman"/>
        </w:rPr>
        <w:t xml:space="preserve">5.A. A afirmação falsa: "não houve embargos à execução" (fls. 104 do AI) 🟥</w:t>
      </w:r>
    </w:p>
    <w:p>
      <w:pPr>
        <w:spacing w:after="120" w:line="360"/>
        <w:jc w:val="both"/>
      </w:pPr>
      <w:r>
        <w:rPr>
          <w:rFonts w:ascii="Times New Roman" w:cs="Times New Roman" w:eastAsia="Times New Roman" w:hAnsi="Times New Roman"/>
          <w:b/>
          <w:bCs/>
          <w:i w:val="false"/>
          <w:iCs w:val="false"/>
        </w:rPr>
        <w:t xml:space="preserve">Provas</w:t>
      </w:r>
      <w:r>
        <w:rPr>
          <w:rFonts w:ascii="Times New Roman" w:cs="Times New Roman" w:eastAsia="Times New Roman" w:hAnsi="Times New Roman"/>
          <w:b w:val="false"/>
          <w:bCs w:val="false"/>
          <w:i w:val="false"/>
          <w:iCs w:val="false"/>
        </w:rPr>
        <w:t xml:space="preserve">, todas lidas em imagem, salvo indicação: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182"/>
        <w:gridCol w:w="2705"/>
        <w:gridCol w:w="3184"/>
      </w:tblGrid>
      <w:tr>
        <w:trPr>
          <w:cantSplit/>
          <w:tblHeader/>
        </w:trPr>
        <w:tc>
          <w:tcPr>
            <w:tcW w:type="dxa" w:w="318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Peça</w:t>
            </w:r>
          </w:p>
        </w:tc>
        <w:tc>
          <w:tcPr>
            <w:tcW w:type="dxa" w:w="2705"/>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Folhas</w:t>
            </w:r>
          </w:p>
        </w:tc>
        <w:tc>
          <w:tcPr>
            <w:tcW w:type="dxa" w:w="3184"/>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Texto</w:t>
            </w:r>
          </w:p>
        </w:tc>
      </w:tr>
      <w:tr>
        <w:trPr>
          <w:cantSplit/>
          <w:tblHeader w:val="false"/>
        </w:trPr>
        <w:tc>
          <w:tcPr>
            <w:tcW w:type="dxa" w:w="31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Certidão de apensamento dos embargos</w:t>
            </w:r>
          </w:p>
        </w:tc>
        <w:tc>
          <w:tcPr>
            <w:tcW w:type="dxa" w:w="27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69 e-SAJ / 36 física (14/04/1988)</w:t>
            </w:r>
          </w:p>
        </w:tc>
        <w:tc>
          <w:tcPr>
            <w:tcW w:type="dxa" w:w="31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apensamento dos embargos à execução</w:t>
            </w:r>
          </w:p>
        </w:tc>
      </w:tr>
      <w:tr>
        <w:trPr>
          <w:cantSplit/>
          <w:tblHeader w:val="false"/>
        </w:trPr>
        <w:tc>
          <w:tcPr>
            <w:tcW w:type="dxa" w:w="31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Sentença dos embargos</w:t>
            </w:r>
          </w:p>
        </w:tc>
        <w:tc>
          <w:tcPr>
            <w:tcW w:type="dxa" w:w="27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2156/2184 e-SAJ / fls. 28/42 física (embargos)</w:t>
            </w:r>
          </w:p>
        </w:tc>
        <w:tc>
          <w:tcPr>
            <w:tcW w:type="dxa" w:w="31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"julgo IMPROCEDENTES os presentes embargos, condenando os embargantes nas custas processuais e honorários advocatícios, que arbitro em 20% (vinte por cento) sobre o montante da execução (…) Ourinhos, 3 de maio de 1.991" (fls. 2184)</w:t>
            </w:r>
          </w:p>
        </w:tc>
      </w:tr>
      <w:tr>
        <w:trPr>
          <w:cantSplit/>
          <w:tblHeader w:val="false"/>
        </w:trPr>
        <w:tc>
          <w:tcPr>
            <w:tcW w:type="dxa" w:w="31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Acórdão, Apelação 494.970-8 (7ª Câmara do 1º TACivSP, Rel. Luiz Correia Lima)</w:t>
            </w:r>
          </w:p>
        </w:tc>
        <w:tc>
          <w:tcPr>
            <w:tcW w:type="dxa" w:w="27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2144/2150 e-SAJ / fls. 153/156 física</w:t>
            </w:r>
          </w:p>
        </w:tc>
        <w:tc>
          <w:tcPr>
            <w:tcW w:type="dxa" w:w="31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"por votação unânime, negar provimento ao recurso" (fls. 2144); "São Paulo, 05 de outubro de 1993" (fls. 2150)</w:t>
            </w:r>
          </w:p>
        </w:tc>
      </w:tr>
      <w:tr>
        <w:trPr>
          <w:cantSplit/>
          <w:tblHeader w:val="false"/>
        </w:trPr>
        <w:tc>
          <w:tcPr>
            <w:tcW w:type="dxa" w:w="31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Certidão de trânsito</w:t>
            </w:r>
          </w:p>
        </w:tc>
        <w:tc>
          <w:tcPr>
            <w:tcW w:type="dxa" w:w="27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2154 e-SAJ / fls. 158 física</w:t>
            </w:r>
          </w:p>
        </w:tc>
        <w:tc>
          <w:tcPr>
            <w:tcW w:type="dxa" w:w="31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"CERTIFICO HAVER DECORRIDO O PRAZO LEGAL PARA INTERPOSIÇÃO DE RECURSOS PELAS PARTES. SÃO PAULO, 10 DE NOVEMBRO DE 1993"</w:t>
            </w:r>
          </w:p>
        </w:tc>
      </w:tr>
      <w:tr>
        <w:trPr>
          <w:cantSplit/>
          <w:tblHeader w:val="false"/>
        </w:trPr>
        <w:tc>
          <w:tcPr>
            <w:tcW w:type="dxa" w:w="31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Admissão do próprio executado (Dr. Carlos Artur Zanoni)</w:t>
            </w:r>
          </w:p>
        </w:tc>
        <w:tc>
          <w:tcPr>
            <w:tcW w:type="dxa" w:w="27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1419/1421 e-SAJ (digital; 02/05/2024)</w:t>
            </w:r>
          </w:p>
        </w:tc>
        <w:tc>
          <w:tcPr>
            <w:tcW w:type="dxa" w:w="31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"condenado o embargante as verbas da sucumbência em 20% do valor do débito, que transitou em julgado"</w:t>
            </w:r>
          </w:p>
        </w:tc>
      </w:tr>
      <w:tr>
        <w:trPr>
          <w:cantSplit/>
          <w:tblHeader w:val="false"/>
        </w:trPr>
        <w:tc>
          <w:tcPr>
            <w:tcW w:type="dxa" w:w="318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Decisão de origem</w:t>
            </w:r>
          </w:p>
        </w:tc>
        <w:tc>
          <w:tcPr>
            <w:tcW w:type="dxa" w:w="2705"/>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3038 e-SAJ (digital; 08/05/2025)</w:t>
            </w:r>
          </w:p>
        </w:tc>
        <w:tc>
          <w:tcPr>
            <w:tcW w:type="dxa" w:w="3184"/>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"Houve oposição de embargos do devedor (…) que foi julgado"</w:t>
            </w:r>
          </w:p>
        </w:tc>
      </w:tr>
    </w:tbl>
    <w:p>
      <w:pPr>
        <w:spacing w:after="120"/>
      </w:pPr>
    </w:p>
    <w:p>
      <w:pPr>
        <w:spacing w:after="120" w:line="360"/>
        <w:jc w:val="both"/>
      </w:pPr>
      <w:r>
        <w:rPr>
          <w:rFonts w:ascii="Times New Roman" w:cs="Times New Roman" w:eastAsia="Times New Roman" w:hAnsi="Times New Roman"/>
          <w:b/>
          <w:bCs/>
          <w:i w:val="false"/>
          <w:iCs w:val="false"/>
        </w:rPr>
        <w:t xml:space="preserve">Consequência:</w:t>
      </w:r>
      <w:r>
        <w:rPr>
          <w:rFonts w:ascii="Times New Roman" w:cs="Times New Roman" w:eastAsia="Times New Roman" w:hAnsi="Times New Roman"/>
          <w:b w:val="false"/>
          <w:bCs w:val="false"/>
          <w:i w:val="false"/>
          <w:iCs w:val="false"/>
        </w:rPr>
        <w:t xml:space="preserve"> o executado afirmou fato que sabe ser falso. A admissão de 2024 foi feita por advogado do mesmo núcleo de representação: o Dr. Carlos Artur Zanoni subscreveu a exceção de 2024, e a Dra. Cinthia Helena Mantovani Zanoni Fittipaldi subscreve a contraminuta. Enquadramento: CPC, art. 77, I, e art. 80, II ("alterar a verdade dos fatos").</w:t>
      </w:r>
    </w:p>
    <w:p>
      <w:pPr>
        <w:spacing w:after="120" w:line="360"/>
        <w:jc w:val="both"/>
      </w:pPr>
      <w:r>
        <w:rPr>
          <w:rFonts w:ascii="Times New Roman" w:cs="Times New Roman" w:eastAsia="Times New Roman" w:hAnsi="Times New Roman"/>
          <w:b/>
          <w:bCs/>
          <w:i w:val="false"/>
          <w:iCs w:val="false"/>
        </w:rPr>
        <w:t xml:space="preserve">Pedido possível (decisão estratégica do cliente):</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Opção 1 (recomendada):</w:t>
      </w:r>
      <w:r>
        <w:rPr>
          <w:rFonts w:ascii="Times New Roman" w:cs="Times New Roman" w:eastAsia="Times New Roman" w:hAnsi="Times New Roman"/>
          <w:b w:val="false"/>
          <w:bCs w:val="false"/>
          <w:i w:val="false"/>
          <w:iCs w:val="false"/>
        </w:rPr>
        <w:t xml:space="preserve"> apontar a falsidade, juntar as provas e pedir que a Câmara a considere na valoração da contraminuta, com menção à "reincidência" já reconhecida pela Relatora no AI 2353386-61.2025 (fls. 3431/3432 e-SAJ, digital). Não pedir multa expressamente.</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Opção 2:</w:t>
      </w:r>
      <w:r>
        <w:rPr>
          <w:rFonts w:ascii="Times New Roman" w:cs="Times New Roman" w:eastAsia="Times New Roman" w:hAnsi="Times New Roman"/>
          <w:b w:val="false"/>
          <w:bCs w:val="false"/>
          <w:i w:val="false"/>
          <w:iCs w:val="false"/>
        </w:rPr>
        <w:t xml:space="preserve"> pedir condenação do executado por litigância de má-fé (arts. 80, II, e 81). É mais agressivo e simétrico ao pedido dele, mas pode parecer retaliação.</w:t>
      </w:r>
    </w:p>
    <w:p>
      <w:pPr>
        <w:spacing w:after="120" w:line="360"/>
        <w:jc w:val="both"/>
      </w:pPr>
      <w:r>
        <w:rPr>
          <w:rFonts w:ascii="Times New Roman" w:cs="Times New Roman" w:eastAsia="Times New Roman" w:hAnsi="Times New Roman"/>
          <w:b w:val="false"/>
          <w:bCs w:val="false"/>
          <w:i w:val="false"/>
          <w:iCs w:val="false"/>
        </w:rPr>
        <w:t xml:space="preserve">Em ambas, citar fls. 3430 e-SAJ, e não fls. 3431, porque esta traz o lapso "por parte do exequente".</w:t>
      </w:r>
    </w:p>
    <w:p>
      <w:pPr>
        <w:pStyle w:val="Heading2"/>
        <w:keepNext/>
      </w:pPr>
      <w:r>
        <w:rPr>
          <w:rFonts w:ascii="Times New Roman" w:cs="Times New Roman" w:eastAsia="Times New Roman" w:hAnsi="Times New Roman"/>
        </w:rPr>
        <w:t xml:space="preserve">5.B. A homologação de 1995 existe, é válida e cumpre sentença transitada em julgado 🟩</w:t>
      </w:r>
    </w:p>
    <w:p>
      <w:pPr>
        <w:spacing w:after="120" w:line="360"/>
        <w:jc w:val="both"/>
      </w:pPr>
      <w:r>
        <w:rPr>
          <w:rFonts w:ascii="Times New Roman" w:cs="Times New Roman" w:eastAsia="Times New Roman" w:hAnsi="Times New Roman"/>
          <w:b/>
          <w:bCs/>
          <w:i w:val="false"/>
          <w:iCs w:val="false"/>
        </w:rPr>
        <w:t xml:space="preserve">Resposta à tese de que "em execução extrajudicial não há homologação" (fls. 100, 102, 105/106 e 111 do AI):</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A sentença dos embargos ordenou a homologação.</w:t>
      </w:r>
      <w:r>
        <w:rPr>
          <w:rFonts w:ascii="Times New Roman" w:cs="Times New Roman" w:eastAsia="Times New Roman" w:hAnsi="Times New Roman"/>
          <w:b w:val="false"/>
          <w:bCs w:val="false"/>
          <w:i w:val="false"/>
          <w:iCs w:val="false"/>
        </w:rPr>
        <w:t xml:space="preserve"> Fls. 2178 e-SAJ / fls. 39 física: "irrelevantes os ataques encetados pelos embargantes contra os valores trazidos à colação pelo embargado quando da propositura da execução, na medida em que o 'quantum' exeqüendo será apurado por cálculo a ser elaborado pelo Juízo com base no contrato, que, após manifestações das partes, deverá ser homologado por decisão."</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O juízo cumpriu a ordem, passo a passo:</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remessa ao contador em 23/06/1994 (fls. 164 e-SAJ / 121v física);</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1ª conta em 06/02/1995 (fls. 165/168 e-SAJ / 122/125 física);</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"Digam sobre o cálculo" em 08/02/1995 (fls. 169 e-SAJ / 126 física). </w:t>
      </w:r>
      <w:r>
        <w:rPr>
          <w:rFonts w:ascii="Times New Roman" w:cs="Times New Roman" w:eastAsia="Times New Roman" w:hAnsi="Times New Roman"/>
          <w:b/>
          <w:bCs/>
          <w:i w:val="false"/>
          <w:iCs w:val="false"/>
        </w:rPr>
        <w:t xml:space="preserve">O executado silenciou.</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impugnação só do Banespa (fls. 174/175 e-SAJ / 129/130 física);</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conta retificada em 05/10/1995 (fls. 180/183 e-SAJ / 134/137 física);</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homologação em 23/11/1995 (fls. 203 e-SAJ / 152 física);</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certidão de 29/12/1995 (fls. 204 e-SAJ).</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A coisa julgada cobre os critérios da conta.</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A sentença afastou "a alegação dos embargantes de que teria ocorrido anatocismo" e julgou improcedentes "as alegações dos embargantes voltadas contra as taxas de juros estipuladas, bem como sua forma de contagem (…) sendo que sua forma de apuração, como reclamada pelo embargado, encontra apoio na disposição contida no inciso VI do artigo 14 do Decreto-lei nº 413" (fls. 2176/2178 e-SAJ / fls. 38/39 física).</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O acórdão validou "os juros, à taxa máxima permitida pelo Bacen e informada na inicial da execução (57,18% ao ano)" e transcreveu a mora de "1% ao mês" (fls. 2148 e-SAJ / fls. 155 física).</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Fundamentos: CF, art. 5º, XXXVI; CPC, arts. 502, 503, 505 e 508; CPC/73, arts. 467, 468, 471 e 474.</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O STJ trata a homologação de cálculos em execução como decisão sujeita a preclusão.</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AgInt no REsp 1.455.741/DF (4ª T., Rel. Min. Raul Araújo, sessão virtual de 26/05 a 01/06/2020, v.u.), em execução por quantia certa: "A decisão que delimita os cálculos e determina o envio dos autos à contadoria possui natureza jurídica de decisão interlocutória e, por conseguinte, sujeita-se a agravo de instrumento, sob pena de preclusão."</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O executado nunca agravou da homologação de 1995.</w:t>
      </w:r>
    </w:p>
    <w:p>
      <w:pPr>
        <w:pStyle w:val="ListParagraph"/>
        <w:numPr>
          <w:ilvl w:val="0"/>
          <w:numId w:val="5"/>
        </w:numPr>
        <w:spacing w:after="80" w:line="340"/>
        <w:jc w:val="both"/>
      </w:pPr>
      <w:r>
        <w:rPr>
          <w:rFonts w:ascii="Times New Roman" w:cs="Times New Roman" w:eastAsia="Times New Roman" w:hAnsi="Times New Roman"/>
          <w:b/>
          <w:bCs/>
          <w:i w:val="false"/>
          <w:iCs w:val="false"/>
        </w:rPr>
        <w:t xml:space="preserve">A própria Relatora já aplicou a mesma lógica contra o executado.</w:t>
      </w:r>
      <w:r>
        <w:rPr>
          <w:rFonts w:ascii="Times New Roman" w:cs="Times New Roman" w:eastAsia="Times New Roman" w:hAnsi="Times New Roman"/>
          <w:b w:val="false"/>
          <w:bCs w:val="false"/>
          <w:i w:val="false"/>
          <w:iCs w:val="false"/>
        </w:rPr>
        <w:t xml:space="preserve"> Na homologação da avaliação, ela reconheceu "o manto da preclusão pro iudicato" e o "retrocesso indevido" de reabrir a matéria (AI 2353386-61.2025, fls. 3422/3430 e-SAJ; trânsito em julgado em 31/03/2026, certificado em fls. 3434 e-SAJ). O trânsito do AREsp 2.456.018/SP, em 30/11/2023, tornou definitiva aquela homologação (fls. 1930 e-SAJ, digital).</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Cuidado 🟨.</w:t>
      </w:r>
      <w:r>
        <w:rPr>
          <w:rFonts w:ascii="Times New Roman" w:cs="Times New Roman" w:eastAsia="Times New Roman" w:hAnsi="Times New Roman"/>
          <w:b w:val="false"/>
          <w:bCs w:val="false"/>
          <w:i w:val="false"/>
          <w:iCs w:val="false"/>
        </w:rPr>
        <w:t xml:space="preserve"> A sentença também diz que "o contrato exeqüendo não contempla tal anomalia" (anatocismo). O executado pode usar a frase contra a capitalização mensal da conta de 1995. Citar sempre o trecho sobre a "forma de contagem (…) como reclamada pelo embargado", e não isolar essa frase. Se ela for invocada: a divergência entre a conta homologada e a sentença seria erro de critério, coberto pela preclusão, e não erro material (EDcl no REsp 1.229.406/SP; AgInt no REsp 2.127.021/DF).</w:t>
      </w:r>
    </w:p>
    <w:p>
      <w:pPr>
        <w:pStyle w:val="Heading2"/>
        <w:keepNext/>
      </w:pPr>
      <w:r>
        <w:rPr>
          <w:rFonts w:ascii="Times New Roman" w:cs="Times New Roman" w:eastAsia="Times New Roman" w:hAnsi="Times New Roman"/>
        </w:rPr>
        <w:t xml:space="preserve">5.C. A contradição interna da contraminuta 🟥</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Fls. 100 do AI:</w:t>
      </w:r>
      <w:r>
        <w:rPr>
          <w:rFonts w:ascii="Times New Roman" w:cs="Times New Roman" w:eastAsia="Times New Roman" w:hAnsi="Times New Roman"/>
          <w:b w:val="false"/>
          <w:bCs w:val="false"/>
          <w:i w:val="false"/>
          <w:iCs w:val="false"/>
        </w:rPr>
        <w:t xml:space="preserve"> "A r. decisão guerreada somente deu as diretrizes legais para sua atualização monetária e </w:t>
      </w:r>
      <w:r>
        <w:rPr>
          <w:rFonts w:ascii="Times New Roman" w:cs="Times New Roman" w:eastAsia="Times New Roman" w:hAnsi="Times New Roman"/>
          <w:b/>
          <w:bCs/>
          <w:i w:val="false"/>
          <w:iCs w:val="false"/>
        </w:rPr>
        <w:t xml:space="preserve">não desconsiderar o saldo homologado em 1995</w:t>
      </w:r>
      <w:r>
        <w:rPr>
          <w:rFonts w:ascii="Times New Roman" w:cs="Times New Roman" w:eastAsia="Times New Roman" w:hAnsi="Times New Roman"/>
          <w:b w:val="false"/>
          <w:bCs w:val="false"/>
          <w:i w:val="false"/>
          <w:iCs w:val="false"/>
        </w:rPr>
        <w:t xml:space="preserve">."</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Fls. 102 do AI:</w:t>
      </w:r>
      <w:r>
        <w:rPr>
          <w:rFonts w:ascii="Times New Roman" w:cs="Times New Roman" w:eastAsia="Times New Roman" w:hAnsi="Times New Roman"/>
          <w:b w:val="false"/>
          <w:bCs w:val="false"/>
          <w:i w:val="false"/>
          <w:iCs w:val="false"/>
        </w:rPr>
        <w:t xml:space="preserve"> "Portanto, </w:t>
      </w:r>
      <w:r>
        <w:rPr>
          <w:rFonts w:ascii="Times New Roman" w:cs="Times New Roman" w:eastAsia="Times New Roman" w:hAnsi="Times New Roman"/>
          <w:b/>
          <w:bCs/>
          <w:i w:val="false"/>
          <w:iCs w:val="false"/>
        </w:rPr>
        <w:t xml:space="preserve">a conta elaborada em 1995 não consolida o quantum</w:t>
      </w:r>
      <w:r>
        <w:rPr>
          <w:rFonts w:ascii="Times New Roman" w:cs="Times New Roman" w:eastAsia="Times New Roman" w:hAnsi="Times New Roman"/>
          <w:b w:val="false"/>
          <w:bCs w:val="false"/>
          <w:i w:val="false"/>
          <w:iCs w:val="false"/>
        </w:rPr>
        <w:t xml:space="preserve"> ou atrai estabilidade."</w:t>
      </w:r>
    </w:p>
    <w:p>
      <w:pPr>
        <w:pStyle w:val="ListParagraph"/>
        <w:numPr>
          <w:ilvl w:val="0"/>
          <w:numId w:val="2"/>
        </w:numPr>
        <w:spacing w:after="80" w:line="340"/>
        <w:jc w:val="both"/>
      </w:pPr>
      <w:r>
        <w:rPr>
          <w:rFonts w:ascii="Times New Roman" w:cs="Times New Roman" w:eastAsia="Times New Roman" w:hAnsi="Times New Roman"/>
          <w:b/>
          <w:bCs/>
          <w:i w:val="false"/>
          <w:iCs w:val="false"/>
        </w:rPr>
        <w:t xml:space="preserve">Fls. 98 e 108 do AI:</w:t>
      </w:r>
      <w:r>
        <w:rPr>
          <w:rFonts w:ascii="Times New Roman" w:cs="Times New Roman" w:eastAsia="Times New Roman" w:hAnsi="Times New Roman"/>
          <w:b w:val="false"/>
          <w:bCs w:val="false"/>
          <w:i w:val="false"/>
          <w:iCs w:val="false"/>
        </w:rPr>
        <w:t xml:space="preserve"> transcrevem fls. 3066, que manda partir do "valor principal desde a data do vencimento (maio/1987)", isto é, desconsidera o saldo de 1995.</w:t>
      </w:r>
    </w:p>
    <w:p>
      <w:pPr>
        <w:spacing w:after="120" w:line="360"/>
        <w:jc w:val="both"/>
      </w:pPr>
      <w:r>
        <w:rPr>
          <w:rFonts w:ascii="Times New Roman" w:cs="Times New Roman" w:eastAsia="Times New Roman" w:hAnsi="Times New Roman"/>
          <w:b w:val="false"/>
          <w:bCs w:val="false"/>
          <w:i w:val="false"/>
          <w:iCs w:val="false"/>
        </w:rPr>
        <w:t xml:space="preserve">As três afirmações não convivem. Se a decisão não desconsiderou o saldo de 1995, a base de 1995 vale, e o agravo deve ser provido. Se o desconsiderou, a contraminuta admite que fls. 3066 reabriu matéria homologada e transitada.</w:t>
      </w:r>
    </w:p>
    <w:p>
      <w:pPr>
        <w:pStyle w:val="Heading2"/>
        <w:keepNext/>
      </w:pPr>
      <w:r>
        <w:rPr>
          <w:rFonts w:ascii="Times New Roman" w:cs="Times New Roman" w:eastAsia="Times New Roman" w:hAnsi="Times New Roman"/>
        </w:rPr>
        <w:t xml:space="preserve">5.D. Não houve anuência: fls. 3077 e fls. 3441 🟩</w:t>
      </w:r>
    </w:p>
    <w:p>
      <w:pPr>
        <w:pStyle w:val="ListParagraph"/>
        <w:numPr>
          <w:ilvl w:val="0"/>
          <w:numId w:val="6"/>
        </w:numPr>
        <w:spacing w:after="80" w:line="340"/>
        <w:jc w:val="both"/>
      </w:pPr>
      <w:r>
        <w:rPr>
          <w:rFonts w:ascii="Times New Roman" w:cs="Times New Roman" w:eastAsia="Times New Roman" w:hAnsi="Times New Roman"/>
          <w:b/>
          <w:bCs/>
          <w:i w:val="false"/>
          <w:iCs w:val="false"/>
        </w:rPr>
        <w:t xml:space="preserve">Fls. 3077 e-SAJ (digital)</w:t>
      </w:r>
      <w:r>
        <w:rPr>
          <w:rFonts w:ascii="Times New Roman" w:cs="Times New Roman" w:eastAsia="Times New Roman" w:hAnsi="Times New Roman"/>
          <w:b w:val="false"/>
          <w:bCs w:val="false"/>
          <w:i w:val="false"/>
          <w:iCs w:val="false"/>
        </w:rPr>
        <w:t xml:space="preserve">, datada de 04/06/2025 e protocolada em 13/06/2025, diz na íntegra: "EDUARDO OLIVEIRA ROSINI E OUTROS (…) em atendimento a r. decisão de fls. , requerer a juntada da planilha de cálculos devidamente atualizada, bem como reiterar que se proceda a intimação do leiloeiro com urgência para que apresente o edital para homologação deste juízo." Não há "anuência", "concordância" ou renúncia.</w:t>
      </w:r>
    </w:p>
    <w:p>
      <w:pPr>
        <w:pStyle w:val="ListParagraph"/>
        <w:numPr>
          <w:ilvl w:val="0"/>
          <w:numId w:val="6"/>
        </w:numPr>
        <w:spacing w:after="80" w:line="340"/>
        <w:jc w:val="both"/>
      </w:pPr>
      <w:r>
        <w:rPr>
          <w:rFonts w:ascii="Times New Roman" w:cs="Times New Roman" w:eastAsia="Times New Roman" w:hAnsi="Times New Roman"/>
          <w:b/>
          <w:bCs/>
          <w:i w:val="false"/>
          <w:iCs w:val="false"/>
        </w:rPr>
        <w:t xml:space="preserve">Cumprir ordem judicial é dever</w:t>
      </w:r>
      <w:r>
        <w:rPr>
          <w:rFonts w:ascii="Times New Roman" w:cs="Times New Roman" w:eastAsia="Times New Roman" w:hAnsi="Times New Roman"/>
          <w:b w:val="false"/>
          <w:bCs w:val="false"/>
          <w:i w:val="false"/>
          <w:iCs w:val="false"/>
        </w:rPr>
        <w:t xml:space="preserve"> (CPC, art. 77, IV), e não aquiescência.</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REsp 2.018.575/PR (3ª T., Rel. Min. Nancy Andrighi, j. 12/09/2023): o ato praticado "em cumprimento à decisão jurisdicional (art. 77, IV, do CPC/2015)" "não representa conduta espontânea reveladora da aquiescência tácita inequívoca".</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EDcl no REsp 2.178.097/RS (4ª T., Rel. Min. Raul Araújo, j. 25/05/2026): ato praticado "sob o império de determinação judicial e cominação de multa não importa aquiescência".</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REsp 1.655.655/SP (3ª T., Rel. Min. Villas Bôas Cueva, j. 25/06/2019): "na dúvida, deve-se em qualquer hipótese considerar excluída a aquiescência tácita".</w:t>
      </w:r>
    </w:p>
    <w:p>
      <w:pPr>
        <w:pStyle w:val="ListParagraph"/>
        <w:numPr>
          <w:ilvl w:val="0"/>
          <w:numId w:val="6"/>
        </w:numPr>
        <w:spacing w:after="80" w:line="340"/>
        <w:jc w:val="both"/>
      </w:pPr>
      <w:r>
        <w:rPr>
          <w:rFonts w:ascii="Times New Roman" w:cs="Times New Roman" w:eastAsia="Times New Roman" w:hAnsi="Times New Roman"/>
          <w:b/>
          <w:bCs/>
          <w:i w:val="false"/>
          <w:iCs w:val="false"/>
        </w:rPr>
        <w:t xml:space="preserve">Fls. 3441 e-SAJ (digital; 28/07/2026)</w:t>
      </w:r>
      <w:r>
        <w:rPr>
          <w:rFonts w:ascii="Times New Roman" w:cs="Times New Roman" w:eastAsia="Times New Roman" w:hAnsi="Times New Roman"/>
          <w:b w:val="false"/>
          <w:bCs w:val="false"/>
          <w:i w:val="false"/>
          <w:iCs w:val="false"/>
        </w:rPr>
        <w:t xml:space="preserve">, protocolada depois da decisão agravada, contém ressalva expressa: "Informa que propôs Agravo de Instrumento em relação a decisão que indeferiu a planilha de fls 3410/3418 que tramita sob n. 2186351-42.2026.8.26.0000". A </w:t>
      </w:r>
      <w:r>
        <w:rPr>
          <w:rFonts w:ascii="Times New Roman" w:cs="Times New Roman" w:eastAsia="Times New Roman" w:hAnsi="Times New Roman"/>
          <w:b/>
          <w:bCs/>
          <w:i w:val="false"/>
          <w:iCs w:val="false"/>
        </w:rPr>
        <w:t xml:space="preserve">própria contraminuta</w:t>
      </w:r>
      <w:r>
        <w:rPr>
          <w:rFonts w:ascii="Times New Roman" w:cs="Times New Roman" w:eastAsia="Times New Roman" w:hAnsi="Times New Roman"/>
          <w:b w:val="false"/>
          <w:bCs w:val="false"/>
          <w:i w:val="false"/>
          <w:iCs w:val="false"/>
        </w:rPr>
        <w:t xml:space="preserve"> reproduz esse trecho em imagem (fls. 110 do AI).</w:t>
      </w:r>
    </w:p>
    <w:p>
      <w:pPr>
        <w:pStyle w:val="ListParagraph"/>
        <w:numPr>
          <w:ilvl w:val="0"/>
          <w:numId w:val="6"/>
        </w:numPr>
        <w:spacing w:after="80" w:line="340"/>
        <w:jc w:val="both"/>
      </w:pPr>
      <w:r>
        <w:rPr>
          <w:rFonts w:ascii="Times New Roman" w:cs="Times New Roman" w:eastAsia="Times New Roman" w:hAnsi="Times New Roman"/>
          <w:b/>
          <w:bCs/>
          <w:i w:val="false"/>
          <w:iCs w:val="false"/>
        </w:rPr>
        <w:t xml:space="preserve">Distinção do TJSP AI 2297076-69.2024</w:t>
      </w:r>
      <w:r>
        <w:rPr>
          <w:rFonts w:ascii="Times New Roman" w:cs="Times New Roman" w:eastAsia="Times New Roman" w:hAnsi="Times New Roman"/>
          <w:b w:val="false"/>
          <w:bCs w:val="false"/>
          <w:i w:val="false"/>
          <w:iCs w:val="false"/>
        </w:rPr>
        <w:t xml:space="preserve"> (19ª CDP, Rel. Jairo Brazil, j. 31/10/2024), se o executado o citar depois. Lá, o devedor depositou valor "sem qualquer ressalva" e pediu a extinção, em ato espontâneo de disposição. Aqui, o credor cumpriu ordem com prazo e, depois do agravo, ressalvou-o expressamente.</w:t>
      </w:r>
    </w:p>
    <w:p>
      <w:pPr>
        <w:pStyle w:val="Heading2"/>
        <w:keepNext/>
      </w:pPr>
      <w:r>
        <w:rPr>
          <w:rFonts w:ascii="Times New Roman" w:cs="Times New Roman" w:eastAsia="Times New Roman" w:hAnsi="Times New Roman"/>
        </w:rPr>
        <w:t xml:space="preserve">5.E. A preclusão de fls. 3064/3066 (fls. 98, 103, 109 e 110 do AI) 🟨: o ponto mais sensível</w:t>
      </w:r>
    </w:p>
    <w:p>
      <w:pPr>
        <w:spacing w:after="120" w:line="360"/>
        <w:jc w:val="both"/>
      </w:pPr>
      <w:r>
        <w:rPr>
          <w:rFonts w:ascii="Times New Roman" w:cs="Times New Roman" w:eastAsia="Times New Roman" w:hAnsi="Times New Roman"/>
          <w:b/>
          <w:bCs/>
          <w:i w:val="false"/>
          <w:iCs w:val="false"/>
        </w:rPr>
        <w:t xml:space="preserve">Por que é sensível:</w:t>
      </w:r>
      <w:r>
        <w:rPr>
          <w:rFonts w:ascii="Times New Roman" w:cs="Times New Roman" w:eastAsia="Times New Roman" w:hAnsi="Times New Roman"/>
          <w:b w:val="false"/>
          <w:bCs w:val="false"/>
          <w:i w:val="false"/>
          <w:iCs w:val="false"/>
        </w:rPr>
        <w:t xml:space="preserve"> é verdade que os exequentes não agravaram de fls. 3066. O AgInt no REsp 1.455.741/DF diz que a decisão que delimita cálculos preclui se não for agravada.</w:t>
      </w:r>
    </w:p>
    <w:p>
      <w:pPr>
        <w:spacing w:after="120" w:line="360"/>
        <w:jc w:val="both"/>
      </w:pPr>
      <w:r>
        <w:rPr>
          <w:rFonts w:ascii="Times New Roman" w:cs="Times New Roman" w:eastAsia="Times New Roman" w:hAnsi="Times New Roman"/>
          <w:b/>
          <w:bCs/>
          <w:i w:val="false"/>
          <w:iCs w:val="false"/>
        </w:rPr>
        <w:t xml:space="preserve">Resposta em cinco camadas:</w:t>
      </w:r>
    </w:p>
    <w:p>
      <w:pPr>
        <w:pStyle w:val="ListParagraph"/>
        <w:numPr>
          <w:ilvl w:val="0"/>
          <w:numId w:val="7"/>
        </w:numPr>
        <w:spacing w:after="80" w:line="340"/>
        <w:jc w:val="both"/>
      </w:pPr>
      <w:r>
        <w:rPr>
          <w:rFonts w:ascii="Times New Roman" w:cs="Times New Roman" w:eastAsia="Times New Roman" w:hAnsi="Times New Roman"/>
          <w:b/>
          <w:bCs/>
          <w:i w:val="false"/>
          <w:iCs w:val="false"/>
        </w:rPr>
        <w:t xml:space="preserve">Coisa julgada material prevalece sobre preclusão de interlocutória.</w:t>
      </w:r>
      <w:r>
        <w:rPr>
          <w:rFonts w:ascii="Times New Roman" w:cs="Times New Roman" w:eastAsia="Times New Roman" w:hAnsi="Times New Roman"/>
          <w:b w:val="false"/>
          <w:bCs w:val="false"/>
          <w:i w:val="false"/>
          <w:iCs w:val="false"/>
        </w:rPr>
        <w:t xml:space="preserve"> Fls. 3066 afirmou que a metodologia dos credores "importa em contagem de juros sobre juros (…) configurando capitalização vedada em lei". Com isso, reabriu questão decidida por sentença e acórdão transitados em 1993 (seção 5.B, item 3). A coisa julgada é matéria de ordem pública, cognoscível a qualquer tempo e grau (CPC, art. 485, § 3º, c/c inciso V, e art. 337, § 5º). Nenhum juiz decidirá novamente as questões já decididas (art. 505). A preclusão de uma interlocutória de 2025 não pode convalidar a violação de coisa julgada de 1993.</w:t>
      </w:r>
    </w:p>
    <w:p>
      <w:pPr>
        <w:pStyle w:val="ListParagraph"/>
        <w:numPr>
          <w:ilvl w:val="0"/>
          <w:numId w:val="7"/>
        </w:numPr>
        <w:spacing w:after="80" w:line="340"/>
        <w:jc w:val="both"/>
      </w:pPr>
      <w:r>
        <w:rPr>
          <w:rFonts w:ascii="Times New Roman" w:cs="Times New Roman" w:eastAsia="Times New Roman" w:hAnsi="Times New Roman"/>
          <w:b/>
          <w:bCs/>
          <w:i w:val="false"/>
          <w:iCs w:val="false"/>
        </w:rPr>
        <w:t xml:space="preserve">Fls. 3066 decidiu o que o próprio juiz declarou não poder decidir.</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Fls. 3065 e-SAJ (digital): "Nos presentes embargos, o executado inova matéria não suscitada na exceção de pré-executividade (…) As alegações ora deduzidas constituem matéria nova (…) sendo imprópria a via eleita para sua discussão."</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Fls. 3066 e-SAJ: "REJEITO os embargos de declaração (…) 2. Não obstante a rejeição (…) DETERMINO".</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Violação dos arts. 9º, 10 e 1.022 do CPC: os exequentes nunca foram ouvidos sobre anatocismo antes do item 2.</w:t>
      </w:r>
    </w:p>
    <w:p>
      <w:pPr>
        <w:pStyle w:val="ListParagraph"/>
        <w:numPr>
          <w:ilvl w:val="0"/>
          <w:numId w:val="7"/>
        </w:numPr>
        <w:spacing w:after="80" w:line="340"/>
        <w:jc w:val="both"/>
      </w:pPr>
      <w:r>
        <w:rPr>
          <w:rFonts w:ascii="Times New Roman" w:cs="Times New Roman" w:eastAsia="Times New Roman" w:hAnsi="Times New Roman"/>
          <w:b/>
          <w:bCs/>
          <w:i w:val="false"/>
          <w:iCs w:val="false"/>
        </w:rPr>
        <w:t xml:space="preserve">A Câmara já disse que essa matéria é estranha ao incidente.</w:t>
      </w:r>
      <w:r>
        <w:rPr>
          <w:rFonts w:ascii="Times New Roman" w:cs="Times New Roman" w:eastAsia="Times New Roman" w:hAnsi="Times New Roman"/>
          <w:b w:val="false"/>
          <w:bCs w:val="false"/>
          <w:i w:val="false"/>
          <w:iCs w:val="false"/>
        </w:rPr>
        <w:t xml:space="preserve"> No AI 2236642-80.2025 (13ª CDP, j. 07/10/2025), a Câmara registrou que "a única tese ali deduzida" foi a dos encargos pós-cessão e que o resto "constituiu indevida inovação".</w:t>
      </w:r>
    </w:p>
    <w:p>
      <w:pPr>
        <w:pStyle w:val="ListParagraph"/>
        <w:numPr>
          <w:ilvl w:val="0"/>
          <w:numId w:val="7"/>
        </w:numPr>
        <w:spacing w:after="80" w:line="340"/>
        <w:jc w:val="both"/>
      </w:pPr>
      <w:r>
        <w:rPr>
          <w:rFonts w:ascii="Times New Roman" w:cs="Times New Roman" w:eastAsia="Times New Roman" w:hAnsi="Times New Roman"/>
          <w:b/>
          <w:bCs/>
          <w:i w:val="false"/>
          <w:iCs w:val="false"/>
        </w:rPr>
        <w:t xml:space="preserve">O "distinguishing" da própria contraminuta favorece os agravantes</w:t>
      </w:r>
      <w:r>
        <w:rPr>
          <w:rFonts w:ascii="Times New Roman" w:cs="Times New Roman" w:eastAsia="Times New Roman" w:hAnsi="Times New Roman"/>
          <w:b w:val="false"/>
          <w:bCs w:val="false"/>
          <w:i w:val="false"/>
          <w:iCs w:val="false"/>
        </w:rPr>
        <w:t xml:space="preserve"> (fls. 109/110 do AI). Se prevalece a "fixação judicial expressa de critérios", a fixação expressa e anterior é a da sentença de 1991 e a da homologação de 1995, não a de 2025.</w:t>
      </w:r>
    </w:p>
    <w:p>
      <w:pPr>
        <w:pStyle w:val="ListParagraph"/>
        <w:numPr>
          <w:ilvl w:val="0"/>
          <w:numId w:val="7"/>
        </w:numPr>
        <w:spacing w:after="80" w:line="340"/>
        <w:jc w:val="both"/>
      </w:pPr>
      <w:r>
        <w:rPr>
          <w:rFonts w:ascii="Times New Roman" w:cs="Times New Roman" w:eastAsia="Times New Roman" w:hAnsi="Times New Roman"/>
          <w:b/>
          <w:bCs/>
          <w:i w:val="false"/>
          <w:iCs w:val="false"/>
        </w:rPr>
        <w:t xml:space="preserve">O mesmo precedente serve aos agravantes.</w:t>
      </w:r>
      <w:r>
        <w:rPr>
          <w:rFonts w:ascii="Times New Roman" w:cs="Times New Roman" w:eastAsia="Times New Roman" w:hAnsi="Times New Roman"/>
          <w:b w:val="false"/>
          <w:bCs w:val="false"/>
          <w:i w:val="false"/>
          <w:iCs w:val="false"/>
        </w:rPr>
        <w:t xml:space="preserve"> Pelo AgInt no REsp 1.455.741/DF, o executado, intimado da conta em 1995 (fls. 169 e-SAJ / 126 física), não se manifestou e não agravou da homologação (fls. 203/204 e-SAJ). A preclusão contra ele é de 30 anos.</w:t>
      </w:r>
    </w:p>
    <w:p>
      <w:pPr>
        <w:spacing w:after="120" w:line="360"/>
        <w:jc w:val="both"/>
      </w:pPr>
      <w:r>
        <w:rPr>
          <w:rFonts w:ascii="Times New Roman" w:cs="Times New Roman" w:eastAsia="Times New Roman" w:hAnsi="Times New Roman"/>
          <w:b/>
          <w:bCs/>
          <w:i w:val="false"/>
          <w:iCs w:val="false"/>
        </w:rPr>
        <w:t xml:space="preserve">Não fazer:</w:t>
      </w:r>
      <w:r>
        <w:rPr>
          <w:rFonts w:ascii="Times New Roman" w:cs="Times New Roman" w:eastAsia="Times New Roman" w:hAnsi="Times New Roman"/>
          <w:b w:val="false"/>
          <w:bCs w:val="false"/>
          <w:i w:val="false"/>
          <w:iCs w:val="false"/>
        </w:rPr>
        <w:t xml:space="preserve"> não negar que fls. 3066 não foi agravada. A Relatora vê os autos. Reconhecer o fato e explicar por que ele não prevalece.</w:t>
      </w:r>
    </w:p>
    <w:p>
      <w:pPr>
        <w:pStyle w:val="Heading2"/>
        <w:keepNext/>
      </w:pPr>
      <w:r>
        <w:rPr>
          <w:rFonts w:ascii="Times New Roman" w:cs="Times New Roman" w:eastAsia="Times New Roman" w:hAnsi="Times New Roman"/>
        </w:rPr>
        <w:t xml:space="preserve">5.F. Cessionários e encargos: fls. 3038/3044 (fls. 107/108 do AI) 🟨</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"Dessa decisão não houve recurso" é falso.</w:t>
      </w:r>
      <w:r>
        <w:rPr>
          <w:rFonts w:ascii="Times New Roman" w:cs="Times New Roman" w:eastAsia="Times New Roman" w:hAnsi="Times New Roman"/>
          <w:b w:val="false"/>
          <w:bCs w:val="false"/>
          <w:i w:val="false"/>
          <w:iCs w:val="false"/>
        </w:rPr>
        <w:t xml:space="preserve"> O executado agravou (AI 2236642-80.2025, 13ª CDP, j. 07/10/2025). O acórdão reduziu a multa ("o percentual de 9% do valor da execução se mostra excessivo") e manteve "no mais" a decisão. 🟩</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O objeto de fls. 3038/3044 é outro.</w:t>
      </w:r>
      <w:r>
        <w:rPr>
          <w:rFonts w:ascii="Times New Roman" w:cs="Times New Roman" w:eastAsia="Times New Roman" w:hAnsi="Times New Roman"/>
          <w:b w:val="false"/>
          <w:bCs w:val="false"/>
          <w:i w:val="false"/>
          <w:iCs w:val="false"/>
        </w:rPr>
        <w:t xml:space="preserve"> A decisão tratou da cobrança de encargos bancários </w:t>
      </w:r>
      <w:r>
        <w:rPr>
          <w:rFonts w:ascii="Times New Roman" w:cs="Times New Roman" w:eastAsia="Times New Roman" w:hAnsi="Times New Roman"/>
          <w:b/>
          <w:bCs/>
          <w:i w:val="false"/>
          <w:iCs w:val="false"/>
        </w:rPr>
        <w:t xml:space="preserve">depois</w:t>
      </w:r>
      <w:r>
        <w:rPr>
          <w:rFonts w:ascii="Times New Roman" w:cs="Times New Roman" w:eastAsia="Times New Roman" w:hAnsi="Times New Roman"/>
          <w:b w:val="false"/>
          <w:bCs w:val="false"/>
          <w:i w:val="false"/>
          <w:iCs w:val="false"/>
        </w:rPr>
        <w:t xml:space="preserve"> da cessão de 31/03/2010 e </w:t>
      </w:r>
      <w:r>
        <w:rPr>
          <w:rFonts w:ascii="Times New Roman" w:cs="Times New Roman" w:eastAsia="Times New Roman" w:hAnsi="Times New Roman"/>
          <w:b/>
          <w:bCs/>
          <w:i w:val="false"/>
          <w:iCs w:val="false"/>
        </w:rPr>
        <w:t xml:space="preserve">rejeitou</w:t>
      </w:r>
      <w:r>
        <w:rPr>
          <w:rFonts w:ascii="Times New Roman" w:cs="Times New Roman" w:eastAsia="Times New Roman" w:hAnsi="Times New Roman"/>
          <w:b w:val="false"/>
          <w:bCs w:val="false"/>
          <w:i w:val="false"/>
          <w:iCs w:val="false"/>
        </w:rPr>
        <w:t xml:space="preserve"> a exceção do executado.</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Os encargos de 1987 a 1995 não são "encargos do cessionário".</w:t>
      </w:r>
      <w:r>
        <w:rPr>
          <w:rFonts w:ascii="Times New Roman" w:cs="Times New Roman" w:eastAsia="Times New Roman" w:hAnsi="Times New Roman"/>
          <w:b w:val="false"/>
          <w:bCs w:val="false"/>
          <w:i w:val="false"/>
          <w:iCs w:val="false"/>
        </w:rPr>
        <w:t xml:space="preserve"> Foram exigidos pelo Banespa, validados pela sentença de 1991 e pelo acórdão de 1993 e homologados em 1995, quinze anos antes da cessão. A cessão transfere o crédito com seus acessórios (CC, arts. 286 e 287). O REsp 1.984.424/SP (3ª T., Rel. Min. Villas Bôas Cueva, j. 23/08/2022) é de Cédula de Crédito Bancário, com fundamento no art. 893 do CC e no Tema 361/STF, e serve por analogia.</w:t>
      </w:r>
    </w:p>
    <w:p>
      <w:pPr>
        <w:pStyle w:val="ListParagraph"/>
        <w:numPr>
          <w:ilvl w:val="0"/>
          <w:numId w:val="8"/>
        </w:numPr>
        <w:spacing w:after="80" w:line="340"/>
        <w:jc w:val="both"/>
      </w:pPr>
      <w:r>
        <w:rPr>
          <w:rFonts w:ascii="Times New Roman" w:cs="Times New Roman" w:eastAsia="Times New Roman" w:hAnsi="Times New Roman"/>
          <w:b/>
          <w:bCs/>
          <w:i w:val="false"/>
          <w:iCs w:val="false"/>
        </w:rPr>
        <w:t xml:space="preserve">Os agravantes não cobram encargos bancários depois de 1995.</w:t>
      </w:r>
      <w:r>
        <w:rPr>
          <w:rFonts w:ascii="Times New Roman" w:cs="Times New Roman" w:eastAsia="Times New Roman" w:hAnsi="Times New Roman"/>
          <w:b w:val="false"/>
          <w:bCs w:val="false"/>
          <w:i w:val="false"/>
          <w:iCs w:val="false"/>
        </w:rPr>
        <w:t xml:space="preserve"> A planilha de fls. 3419 aplica juros simples a partir de 05/10/1995, e fls. 3043 e-SAJ registra a mesma limitação.</w:t>
      </w:r>
    </w:p>
    <w:p>
      <w:pPr>
        <w:spacing w:after="120" w:line="360"/>
        <w:jc w:val="both"/>
      </w:pPr>
      <w:r>
        <w:rPr>
          <w:rFonts w:ascii="Times New Roman" w:cs="Times New Roman" w:eastAsia="Times New Roman" w:hAnsi="Times New Roman"/>
          <w:b w:val="false"/>
          <w:bCs w:val="false"/>
          <w:i w:val="false"/>
          <w:iCs w:val="false"/>
        </w:rPr>
        <w:t xml:space="preserve">⚠️ </w:t>
      </w:r>
      <w:r>
        <w:rPr>
          <w:rFonts w:ascii="Times New Roman" w:cs="Times New Roman" w:eastAsia="Times New Roman" w:hAnsi="Times New Roman"/>
          <w:b/>
          <w:bCs/>
          <w:i w:val="false"/>
          <w:iCs w:val="false"/>
        </w:rPr>
        <w:t xml:space="preserve">Risco 🟥:</w:t>
      </w:r>
      <w:r>
        <w:rPr>
          <w:rFonts w:ascii="Times New Roman" w:cs="Times New Roman" w:eastAsia="Times New Roman" w:hAnsi="Times New Roman"/>
          <w:b w:val="false"/>
          <w:bCs w:val="false"/>
          <w:i w:val="false"/>
          <w:iCs w:val="false"/>
        </w:rPr>
        <w:t xml:space="preserve"> precedente da própria 13ª CDP (Ap. 1040981-64.2018, Rel. Des. Giaquinto, citado em fls. 3042 e-SAJ) contra a cobrança de encargos bancários pelo cessionário. Por isso, restringir a discussão ao período até 1995 e à coisa julgada, e não defender encargos bancários depois da cessão.</w:t>
      </w:r>
    </w:p>
    <w:p>
      <w:pPr>
        <w:pStyle w:val="Heading2"/>
        <w:keepNext/>
      </w:pPr>
      <w:r>
        <w:rPr>
          <w:rFonts w:ascii="Times New Roman" w:cs="Times New Roman" w:eastAsia="Times New Roman" w:hAnsi="Times New Roman"/>
        </w:rPr>
        <w:t xml:space="preserve">5.G. Defesa contra o pedido de multa por litigância de má-fé (fls. 108/109 do AI) 🟩</w:t>
      </w:r>
    </w:p>
    <w:p>
      <w:pPr>
        <w:pStyle w:val="ListParagraph"/>
        <w:numPr>
          <w:ilvl w:val="0"/>
          <w:numId w:val="9"/>
        </w:numPr>
        <w:spacing w:after="80" w:line="340"/>
        <w:jc w:val="both"/>
      </w:pPr>
      <w:r>
        <w:rPr>
          <w:rFonts w:ascii="Times New Roman" w:cs="Times New Roman" w:eastAsia="Times New Roman" w:hAnsi="Times New Roman"/>
          <w:b/>
          <w:bCs/>
          <w:i w:val="false"/>
          <w:iCs w:val="false"/>
        </w:rPr>
        <w:t xml:space="preserve">A citação é literal.</w:t>
      </w:r>
      <w:r>
        <w:rPr>
          <w:rFonts w:ascii="Times New Roman" w:cs="Times New Roman" w:eastAsia="Times New Roman" w:hAnsi="Times New Roman"/>
          <w:b w:val="false"/>
          <w:bCs w:val="false"/>
          <w:i w:val="false"/>
          <w:iCs w:val="false"/>
        </w:rPr>
        <w:t xml:space="preserve"> O agravo transcreveu que o juízo reconheceu, em fls. 3436, que o saldo de 1995 "não correspondia exclusivamente ao principal corrigido, mas sim ao saldo consolidado". A contraminuta, em fls. 109 do AI, transcreve o "trecho completo", que contém as mesmas palavras.</w:t>
      </w:r>
    </w:p>
    <w:p>
      <w:pPr>
        <w:pStyle w:val="ListParagraph"/>
        <w:numPr>
          <w:ilvl w:val="0"/>
          <w:numId w:val="9"/>
        </w:numPr>
        <w:spacing w:after="80" w:line="340"/>
        <w:jc w:val="both"/>
      </w:pPr>
      <w:r>
        <w:rPr>
          <w:rFonts w:ascii="Times New Roman" w:cs="Times New Roman" w:eastAsia="Times New Roman" w:hAnsi="Times New Roman"/>
          <w:b/>
          <w:bCs/>
          <w:i w:val="false"/>
          <w:iCs w:val="false"/>
        </w:rPr>
        <w:t xml:space="preserve">Extrair consequência jurídica de frase literal é argumento, não alteração da verdade</w:t>
      </w:r>
      <w:r>
        <w:rPr>
          <w:rFonts w:ascii="Times New Roman" w:cs="Times New Roman" w:eastAsia="Times New Roman" w:hAnsi="Times New Roman"/>
          <w:b w:val="false"/>
          <w:bCs w:val="false"/>
          <w:i w:val="false"/>
          <w:iCs w:val="false"/>
        </w:rPr>
        <w:t xml:space="preserve"> (CPC, art. 80, II). A má-fé exige dolo, e o texto não foi alterado.</w:t>
      </w:r>
    </w:p>
    <w:p>
      <w:pPr>
        <w:pStyle w:val="ListParagraph"/>
        <w:numPr>
          <w:ilvl w:val="0"/>
          <w:numId w:val="9"/>
        </w:numPr>
        <w:spacing w:after="80" w:line="340"/>
        <w:jc w:val="both"/>
      </w:pPr>
      <w:r>
        <w:rPr>
          <w:rFonts w:ascii="Times New Roman" w:cs="Times New Roman" w:eastAsia="Times New Roman" w:hAnsi="Times New Roman"/>
          <w:b/>
          <w:bCs/>
          <w:i w:val="false"/>
          <w:iCs w:val="false"/>
        </w:rPr>
        <w:t xml:space="preserve">Contraste com a conduta do agravado:</w:t>
      </w:r>
      <w:r>
        <w:rPr>
          <w:rFonts w:ascii="Times New Roman" w:cs="Times New Roman" w:eastAsia="Times New Roman" w:hAnsi="Times New Roman"/>
          <w:b w:val="false"/>
          <w:bCs w:val="false"/>
          <w:i w:val="false"/>
          <w:iCs w:val="false"/>
        </w:rPr>
        <w:t xml:space="preserve"> a contraminuta afirmou falsamente que "não houve embargos" (fls. 104 do AI) e que "dessa decisão não houve recurso" (fls. 107 do AI). Ver seção 5.A.</w:t>
      </w:r>
    </w:p>
    <w:p>
      <w:pPr>
        <w:pStyle w:val="ListParagraph"/>
        <w:numPr>
          <w:ilvl w:val="0"/>
          <w:numId w:val="9"/>
        </w:numPr>
        <w:spacing w:after="80" w:line="340"/>
        <w:jc w:val="both"/>
      </w:pPr>
      <w:r>
        <w:rPr>
          <w:rFonts w:ascii="Times New Roman" w:cs="Times New Roman" w:eastAsia="Times New Roman" w:hAnsi="Times New Roman"/>
          <w:b/>
          <w:bCs/>
          <w:i w:val="false"/>
          <w:iCs w:val="false"/>
        </w:rPr>
        <w:t xml:space="preserve">Pedido:</w:t>
      </w:r>
      <w:r>
        <w:rPr>
          <w:rFonts w:ascii="Times New Roman" w:cs="Times New Roman" w:eastAsia="Times New Roman" w:hAnsi="Times New Roman"/>
          <w:b w:val="false"/>
          <w:bCs w:val="false"/>
          <w:i w:val="false"/>
          <w:iCs w:val="false"/>
        </w:rPr>
        <w:t xml:space="preserve"> rejeição do pedido de condenação dos agravantes.</w:t>
      </w:r>
    </w:p>
    <w:p>
      <w:pPr>
        <w:pStyle w:val="Heading2"/>
        <w:keepNext/>
      </w:pPr>
      <w:r>
        <w:rPr>
          <w:rFonts w:ascii="Times New Roman" w:cs="Times New Roman" w:eastAsia="Times New Roman" w:hAnsi="Times New Roman"/>
        </w:rPr>
        <w:t xml:space="preserve">5.H. Retratação e art. 1.018 (fls. 110 do AI) 🟩</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Os autos de origem e do agravo são eletrônicos. O art. 1.018, § 2º, impõe a comunicação à origem só "não sendo eletrônicos os autos". A inadmissibilidade do § 3º se refere a esse caso.</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De todo modo, os agravantes informaram o agravo na origem (fls. 3441 e-SAJ, 28/07/2026), como a própria contraminuta reconhece.</w:t>
      </w:r>
    </w:p>
    <w:p>
      <w:pPr>
        <w:pStyle w:val="ListParagraph"/>
        <w:numPr>
          <w:ilvl w:val="0"/>
          <w:numId w:val="2"/>
        </w:numPr>
        <w:spacing w:after="80" w:line="340"/>
        <w:jc w:val="both"/>
      </w:pPr>
      <w:r>
        <w:rPr>
          <w:rFonts w:ascii="Times New Roman" w:cs="Times New Roman" w:eastAsia="Times New Roman" w:hAnsi="Times New Roman"/>
          <w:b w:val="false"/>
          <w:bCs w:val="false"/>
          <w:i w:val="false"/>
          <w:iCs w:val="false"/>
        </w:rPr>
        <w:t xml:space="preserve">O juízo de retratação é faculdade do juiz. A falta dele não gera nenhuma consequência para o agravo.</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6. Pontos que a resposta NÃO deve abrir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32"/>
        <w:gridCol w:w="3832"/>
        <w:gridCol w:w="1407"/>
      </w:tblGrid>
      <w:tr>
        <w:trPr>
          <w:cantSplit/>
          <w:tblHeader/>
        </w:trPr>
        <w:tc>
          <w:tcPr>
            <w:tcW w:type="dxa" w:w="383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Tema</w:t>
            </w:r>
          </w:p>
        </w:tc>
        <w:tc>
          <w:tcPr>
            <w:tcW w:type="dxa" w:w="383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Por quê</w:t>
            </w:r>
          </w:p>
        </w:tc>
        <w:tc>
          <w:tcPr>
            <w:tcW w:type="dxa" w:w="140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Onde está tratado</w:t>
            </w:r>
          </w:p>
        </w:tc>
      </w:tr>
      <w:tr>
        <w:trPr>
          <w:cantSplit/>
          <w:tblHeader w:val="false"/>
        </w:trPr>
        <w:tc>
          <w:tcPr>
            <w:tcW w:type="dxa" w:w="383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Planilhas desde 1987 (2007 a 2025) e a "mera liberalidade" do Santander (fls. 2137/2139 e-SAJ / CP 600/602 / 148/150 física)</w:t>
            </w:r>
          </w:p>
        </w:tc>
        <w:tc>
          <w:tcPr>
            <w:tcW w:type="dxa" w:w="383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Maior risco de </w:t>
            </w:r>
            <w:r>
              <w:rPr>
                <w:rFonts w:ascii="Times New Roman" w:cs="Times New Roman" w:eastAsia="Times New Roman" w:hAnsi="Times New Roman"/>
                <w:b w:val="false"/>
                <w:bCs w:val="false"/>
                <w:i/>
                <w:iCs/>
                <w:sz w:val="19"/>
                <w:szCs w:val="19"/>
              </w:rPr>
              <w:t xml:space="preserve">venire contra factum proprium</w:t>
            </w:r>
            <w:r>
              <w:rPr>
                <w:rFonts w:ascii="Times New Roman" w:cs="Times New Roman" w:eastAsia="Times New Roman" w:hAnsi="Times New Roman"/>
                <w:b w:val="false"/>
                <w:bCs w:val="false"/>
                <w:i w:val="false"/>
                <w:iCs w:val="false"/>
                <w:sz w:val="19"/>
                <w:szCs w:val="19"/>
              </w:rPr>
              <w:t xml:space="preserve">. A contraminuta mal toca no tema (fls. 103 do AI)</w:t>
            </w:r>
          </w:p>
        </w:tc>
        <w:tc>
          <w:tcPr>
            <w:tcW w:type="dxa" w:w="140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Auditoria v5, Bloco F2</w:t>
            </w:r>
          </w:p>
        </w:tc>
      </w:tr>
      <w:tr>
        <w:trPr>
          <w:cantSplit/>
          <w:tblHeader w:val="false"/>
        </w:trPr>
        <w:tc>
          <w:tcPr>
            <w:tcW w:type="dxa" w:w="383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Valor de R$ 185.096.002,92</w:t>
            </w:r>
          </w:p>
        </w:tc>
        <w:tc>
          <w:tcPr>
            <w:tcW w:type="dxa" w:w="383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Desproporção com o imóvel (cerca de R$ 12,8 milhões). Não repetir o número</w:t>
            </w:r>
          </w:p>
        </w:tc>
        <w:tc>
          <w:tcPr>
            <w:tcW w:type="dxa" w:w="140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Auditoria v5, C5</w:t>
            </w:r>
          </w:p>
        </w:tc>
      </w:tr>
      <w:tr>
        <w:trPr>
          <w:cantSplit/>
          <w:tblHeader w:val="false"/>
        </w:trPr>
        <w:tc>
          <w:tcPr>
            <w:tcW w:type="dxa" w:w="383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Mora de 1% ao mês e limite do DL 413/69, art. 5º, parágrafo único</w:t>
            </w:r>
          </w:p>
        </w:tc>
        <w:tc>
          <w:tcPr>
            <w:tcW w:type="dxa" w:w="383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Coberto pela coisa julgada, mas é ponto sensível na perícia</w:t>
            </w:r>
          </w:p>
        </w:tc>
        <w:tc>
          <w:tcPr>
            <w:tcW w:type="dxa" w:w="140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Auditoria v5, C1 e J5</w:t>
            </w:r>
          </w:p>
        </w:tc>
      </w:tr>
      <w:tr>
        <w:trPr>
          <w:cantSplit/>
          <w:tblHeader w:val="false"/>
        </w:trPr>
        <w:tc>
          <w:tcPr>
            <w:tcW w:type="dxa" w:w="383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Honorários de 10% ou 20%</w:t>
            </w:r>
          </w:p>
        </w:tc>
        <w:tc>
          <w:tcPr>
            <w:tcW w:type="dxa" w:w="383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contraminuta não trata do tema. Mencionar só se útil no item 5.A (a sentença fixou 20%)</w:t>
            </w:r>
          </w:p>
        </w:tc>
        <w:tc>
          <w:tcPr>
            <w:tcW w:type="dxa" w:w="140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Auditoria v5, J1</w:t>
            </w:r>
          </w:p>
        </w:tc>
      </w:tr>
      <w:tr>
        <w:trPr>
          <w:cantSplit/>
          <w:tblHeader w:val="false"/>
        </w:trPr>
        <w:tc>
          <w:tcPr>
            <w:tcW w:type="dxa" w:w="383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52 e-SAJ / 23 física</w:t>
            </w:r>
          </w:p>
        </w:tc>
        <w:tc>
          <w:tcPr>
            <w:tcW w:type="dxa" w:w="383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Não tratado pela contraminuta. A retificação fica para os memoriais</w:t>
            </w:r>
          </w:p>
        </w:tc>
        <w:tc>
          <w:tcPr>
            <w:tcW w:type="dxa" w:w="140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Auditoria v5, B1</w:t>
            </w:r>
          </w:p>
        </w:tc>
      </w:tr>
    </w:tbl>
    <w:p>
      <w:pPr>
        <w:spacing w:after="120"/>
      </w:pP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7. Documentos a juntar ou citar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42"/>
        <w:gridCol w:w="3318"/>
        <w:gridCol w:w="3318"/>
        <w:gridCol w:w="1993"/>
      </w:tblGrid>
      <w:tr>
        <w:trPr>
          <w:cantSplit/>
          <w:tblHeader/>
        </w:trPr>
        <w:tc>
          <w:tcPr>
            <w:tcW w:type="dxa" w:w="44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w:t>
            </w:r>
          </w:p>
        </w:tc>
        <w:tc>
          <w:tcPr>
            <w:tcW w:type="dxa" w:w="331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Documento</w:t>
            </w:r>
          </w:p>
        </w:tc>
        <w:tc>
          <w:tcPr>
            <w:tcW w:type="dxa" w:w="3318"/>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fls. e-SAJ / fls. física</w:t>
            </w:r>
          </w:p>
        </w:tc>
        <w:tc>
          <w:tcPr>
            <w:tcW w:type="dxa" w:w="199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Juntar?</w:t>
            </w:r>
          </w:p>
        </w:tc>
      </w:tr>
      <w:tr>
        <w:trPr>
          <w:cantSplit/>
          <w:tblHeader w:val="false"/>
        </w:trPr>
        <w:tc>
          <w:tcPr>
            <w:tcW w:type="dxa" w:w="4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Sentença dos embargos, página com anatocismo e ordem de homologação</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2178 e-SAJ / 39 física (embargos)</w:t>
            </w:r>
          </w:p>
        </w:tc>
        <w:tc>
          <w:tcPr>
            <w:tcW w:type="dxa" w:w="19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Sim</w:t>
            </w:r>
          </w:p>
        </w:tc>
      </w:tr>
      <w:tr>
        <w:trPr>
          <w:cantSplit/>
          <w:tblHeader w:val="false"/>
        </w:trPr>
        <w:tc>
          <w:tcPr>
            <w:tcW w:type="dxa" w:w="4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Sentença dos embargos, dispositivo (20%)</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2184 e-SAJ / 42 física (embargos)</w:t>
            </w:r>
          </w:p>
        </w:tc>
        <w:tc>
          <w:tcPr>
            <w:tcW w:type="dxa" w:w="19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Sim</w:t>
            </w:r>
          </w:p>
        </w:tc>
      </w:tr>
      <w:tr>
        <w:trPr>
          <w:cantSplit/>
          <w:tblHeader w:val="false"/>
        </w:trPr>
        <w:tc>
          <w:tcPr>
            <w:tcW w:type="dxa" w:w="4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Acórdão Ap. 494.970-8, 1ª página ("negar provimento")</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2144 e-SAJ / 153 física (embargos)</w:t>
            </w:r>
          </w:p>
        </w:tc>
        <w:tc>
          <w:tcPr>
            <w:tcW w:type="dxa" w:w="19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Sim</w:t>
            </w:r>
          </w:p>
        </w:tc>
      </w:tr>
      <w:tr>
        <w:trPr>
          <w:cantSplit/>
          <w:tblHeader w:val="false"/>
        </w:trPr>
        <w:tc>
          <w:tcPr>
            <w:tcW w:type="dxa" w:w="4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4</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Acórdão, página com 57,18% a.a.</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2148 e-SAJ / 155 física (embargos)</w:t>
            </w:r>
          </w:p>
        </w:tc>
        <w:tc>
          <w:tcPr>
            <w:tcW w:type="dxa" w:w="19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Sim</w:t>
            </w:r>
          </w:p>
        </w:tc>
      </w:tr>
      <w:tr>
        <w:trPr>
          <w:cantSplit/>
          <w:tblHeader w:val="false"/>
        </w:trPr>
        <w:tc>
          <w:tcPr>
            <w:tcW w:type="dxa" w:w="4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5</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Acórdão, fecho com data e relator</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2150 e-SAJ / 156 física (embargos)</w:t>
            </w:r>
          </w:p>
        </w:tc>
        <w:tc>
          <w:tcPr>
            <w:tcW w:type="dxa" w:w="19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Sim</w:t>
            </w:r>
          </w:p>
        </w:tc>
      </w:tr>
      <w:tr>
        <w:trPr>
          <w:cantSplit/>
          <w:tblHeader w:val="false"/>
        </w:trPr>
        <w:tc>
          <w:tcPr>
            <w:tcW w:type="dxa" w:w="4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6</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Certidão de trânsito em julgado</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2154 e-SAJ / 158 física (embargos)</w:t>
            </w:r>
          </w:p>
        </w:tc>
        <w:tc>
          <w:tcPr>
            <w:tcW w:type="dxa" w:w="19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Sim</w:t>
            </w:r>
          </w:p>
        </w:tc>
      </w:tr>
      <w:tr>
        <w:trPr>
          <w:cantSplit/>
          <w:tblHeader w:val="false"/>
        </w:trPr>
        <w:tc>
          <w:tcPr>
            <w:tcW w:type="dxa" w:w="4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Homologação de 1995 e certidão</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203/204 e-SAJ / 152 física</w:t>
            </w:r>
          </w:p>
        </w:tc>
        <w:tc>
          <w:tcPr>
            <w:tcW w:type="dxa" w:w="19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Citar (já no agravo)</w:t>
            </w:r>
          </w:p>
        </w:tc>
      </w:tr>
      <w:tr>
        <w:trPr>
          <w:cantSplit/>
          <w:tblHeader w:val="false"/>
        </w:trPr>
        <w:tc>
          <w:tcPr>
            <w:tcW w:type="dxa" w:w="4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8</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Petição de fls. 3077 (sem concordância)</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3077 e-SAJ (digital)</w:t>
            </w:r>
          </w:p>
        </w:tc>
        <w:tc>
          <w:tcPr>
            <w:tcW w:type="dxa" w:w="19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Citar e transcrever</w:t>
            </w:r>
          </w:p>
        </w:tc>
      </w:tr>
      <w:tr>
        <w:trPr>
          <w:cantSplit/>
          <w:tblHeader w:val="false"/>
        </w:trPr>
        <w:tc>
          <w:tcPr>
            <w:tcW w:type="dxa" w:w="4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9</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Petição de fls. 3441 (ressalva do agravo)</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3441 e-SAJ (digital)</w:t>
            </w:r>
          </w:p>
        </w:tc>
        <w:tc>
          <w:tcPr>
            <w:tcW w:type="dxa" w:w="19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Citar (a contraminuta já a reproduz)</w:t>
            </w:r>
          </w:p>
        </w:tc>
      </w:tr>
      <w:tr>
        <w:trPr>
          <w:cantSplit/>
          <w:tblHeader w:val="false"/>
        </w:trPr>
        <w:tc>
          <w:tcPr>
            <w:tcW w:type="dxa" w:w="4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10</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Admissão do executado sobre os embargos</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1419/1421 e-SAJ (digital)</w:t>
            </w:r>
          </w:p>
        </w:tc>
        <w:tc>
          <w:tcPr>
            <w:tcW w:type="dxa" w:w="19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Citar e transcrever</w:t>
            </w:r>
          </w:p>
        </w:tc>
      </w:tr>
      <w:tr>
        <w:trPr>
          <w:cantSplit/>
          <w:tblHeader w:val="false"/>
        </w:trPr>
        <w:tc>
          <w:tcPr>
            <w:tcW w:type="dxa" w:w="4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11</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Fls. 3065/3066 (matéria "nova" e item 2)</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3065/3066 e-SAJ (digital)</w:t>
            </w:r>
          </w:p>
        </w:tc>
        <w:tc>
          <w:tcPr>
            <w:tcW w:type="dxa" w:w="19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Citar</w:t>
            </w:r>
          </w:p>
        </w:tc>
      </w:tr>
      <w:tr>
        <w:trPr>
          <w:cantSplit/>
          <w:tblHeader w:val="false"/>
        </w:trPr>
        <w:tc>
          <w:tcPr>
            <w:tcW w:type="dxa" w:w="44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12</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Acórdão AI 2353386 (multa 5%; reincidência)</w:t>
            </w:r>
          </w:p>
        </w:tc>
        <w:tc>
          <w:tcPr>
            <w:tcW w:type="dxa" w:w="331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3430/3432 e-SAJ (digital); acórdão completo em fls. 3422/3433 e certidão de trânsito em fls. 3434</w:t>
            </w:r>
          </w:p>
        </w:tc>
        <w:tc>
          <w:tcPr>
            <w:tcW w:type="dxa" w:w="19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Citar</w:t>
            </w:r>
          </w:p>
        </w:tc>
      </w:tr>
    </w:tbl>
    <w:p>
      <w:pPr>
        <w:spacing w:after="120"/>
      </w:pP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8. Jurisprudência a usar: somente julgados lidos na pasta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17"/>
        <w:gridCol w:w="3466"/>
        <w:gridCol w:w="3466"/>
        <w:gridCol w:w="522"/>
      </w:tblGrid>
      <w:tr>
        <w:trPr>
          <w:cantSplit/>
          <w:tblHeader/>
        </w:trPr>
        <w:tc>
          <w:tcPr>
            <w:tcW w:type="dxa" w:w="1617"/>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Julgado</w:t>
            </w:r>
          </w:p>
        </w:tc>
        <w:tc>
          <w:tcPr>
            <w:tcW w:type="dxa" w:w="346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Identificação</w:t>
            </w:r>
          </w:p>
        </w:tc>
        <w:tc>
          <w:tcPr>
            <w:tcW w:type="dxa" w:w="346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Uso</w:t>
            </w:r>
          </w:p>
        </w:tc>
        <w:tc>
          <w:tcPr>
            <w:tcW w:type="dxa" w:w="52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Sinal</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Sentença dos Embargos 841/87</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3ª Vara de Ourinhos, Juiz José Aparício Coelho Prado Neto, 03/05/1991</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coisa julgada: anatocismo, forma de contagem, homologação, 20%</w:t>
            </w:r>
          </w:p>
        </w:tc>
        <w:tc>
          <w:tcPr>
            <w:tcW w:type="dxa" w:w="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Ap. 494.970-8</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7ª Câm. do 1º TACivSP, Rel. Luiz Correia Lima, j. 05/10/1993, v.u.; trânsito em 10/11/1993</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coisa julgada: 57,18% a.a.; mora de 1% a.m.</w:t>
            </w:r>
          </w:p>
        </w:tc>
        <w:tc>
          <w:tcPr>
            <w:tcW w:type="dxa" w:w="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1.455.741/DF</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Raul Araújo, sessão virtual de 26/05 a 01/06/2020</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homologação de cálculo em execução preclui, contra o executado desde 1995 (tem dois gumes)</w:t>
            </w:r>
          </w:p>
        </w:tc>
        <w:tc>
          <w:tcPr>
            <w:tcW w:type="dxa" w:w="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 🟥</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EDcl no REsp 1.229.406/SP</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1ª T., Rel. Min. Benedito Gonçalves, j. 16/02/2012</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critério não é erro material; eficácia preclusiva da homologação</w:t>
            </w:r>
          </w:p>
        </w:tc>
        <w:tc>
          <w:tcPr>
            <w:tcW w:type="dxa" w:w="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2.127.021/DF</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Humberto Martins, sessão de 13 a 19/08/2024</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critério homologado não se revê de ofício</w:t>
            </w:r>
          </w:p>
        </w:tc>
        <w:tc>
          <w:tcPr>
            <w:tcW w:type="dxa" w:w="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AREsp 2.500.976/PR</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João Otávio de Noronha, sessão de 03 a 09/03/2026</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idem</w:t>
            </w:r>
          </w:p>
        </w:tc>
        <w:tc>
          <w:tcPr>
            <w:tcW w:type="dxa" w:w="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2.018.575/PR</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Nancy Andrighi, j. 12/09/2023</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cumprir ordem não é aquiescer</w:t>
            </w:r>
          </w:p>
        </w:tc>
        <w:tc>
          <w:tcPr>
            <w:tcW w:type="dxa" w:w="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EDcl no REsp 2.178.097/RS</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4ª T., Rel. Min. Raul Araújo, j. 25/05/2026</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idem</w:t>
            </w:r>
          </w:p>
        </w:tc>
        <w:tc>
          <w:tcPr>
            <w:tcW w:type="dxa" w:w="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1.655.655/SP</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Villas Bôas Cueva, j. 25/06/2019</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na dúvida, exclui-se a aquiescência</w:t>
            </w:r>
          </w:p>
        </w:tc>
        <w:tc>
          <w:tcPr>
            <w:tcW w:type="dxa" w:w="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2236642-80.2025</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 Rel. Ana de Lourdes C. S. da Fonseca, j. 07/10/2025</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"única tese"; "indevida inovação"; houve recurso do executado</w:t>
            </w:r>
          </w:p>
        </w:tc>
        <w:tc>
          <w:tcPr>
            <w:tcW w:type="dxa" w:w="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2353386-61.2025</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13ª CDP, mesma Relatora, j. 04/03/2026; trânsito em 31/03/2026 (fls. 3422/3434 e-SAJ)</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"preclusão pro iudicato"; "retrocesso indevido"; multa de 5% por "reincidência"</w:t>
            </w:r>
          </w:p>
        </w:tc>
        <w:tc>
          <w:tcPr>
            <w:tcW w:type="dxa" w:w="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AREsp 2.456.018/SP</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Presidência, 03/11/2023; trânsito em 30/11/2023</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recursos protelatórios do executado</w:t>
            </w:r>
          </w:p>
        </w:tc>
        <w:tc>
          <w:tcPr>
            <w:tcW w:type="dxa" w:w="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TJSP AI 2297076-69.2024</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19ª CDP, Rel. Jairo Brazil, j. 31/10/2024</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distinguir, se citado (ato sem ressalva)</w:t>
            </w:r>
          </w:p>
        </w:tc>
        <w:tc>
          <w:tcPr>
            <w:tcW w:type="dxa" w:w="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 contra</w:t>
            </w:r>
          </w:p>
        </w:tc>
      </w:tr>
      <w:tr>
        <w:trPr>
          <w:cantSplit/>
          <w:tblHeader w:val="false"/>
        </w:trPr>
        <w:tc>
          <w:tcPr>
            <w:tcW w:type="dxa" w:w="1617"/>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REsp 1.538.235/DF</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STJ, 3ª T., Rel. Min. Nancy Andrighi, j. 14/05/2019</w:t>
            </w:r>
          </w:p>
        </w:tc>
        <w:tc>
          <w:tcPr>
            <w:tcW w:type="dxa" w:w="346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não citar</w:t>
            </w:r>
            <w:r>
              <w:rPr>
                <w:rFonts w:ascii="Times New Roman" w:cs="Times New Roman" w:eastAsia="Times New Roman" w:hAnsi="Times New Roman"/>
                <w:b w:val="false"/>
                <w:bCs w:val="false"/>
                <w:i w:val="false"/>
                <w:iCs w:val="false"/>
                <w:sz w:val="19"/>
                <w:szCs w:val="19"/>
              </w:rPr>
              <w:t xml:space="preserve">. É contrário; distinguir só se o executado o invocar</w:t>
            </w:r>
          </w:p>
        </w:tc>
        <w:tc>
          <w:tcPr>
            <w:tcW w:type="dxa" w:w="52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w:t>
            </w:r>
          </w:p>
        </w:tc>
      </w:tr>
    </w:tbl>
    <w:p>
      <w:pPr>
        <w:spacing w:after="120"/>
      </w:pP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9. Esqueleto da manifestação</w:t>
      </w:r>
    </w:p>
    <w:p>
      <w:pPr>
        <w:spacing w:after="120" w:line="360"/>
        <w:jc w:val="both"/>
      </w:pPr>
      <w:r>
        <w:rPr>
          <w:rFonts w:ascii="Times New Roman" w:cs="Times New Roman" w:eastAsia="Times New Roman" w:hAnsi="Times New Roman"/>
          <w:b/>
          <w:bCs/>
          <w:i w:val="false"/>
          <w:iCs w:val="false"/>
        </w:rPr>
        <w:t xml:space="preserve">MANIFESTAÇÃO SOBRE A CONTRAMINUTA E SOBRE O PEDIDO DE CONDENAÇÃO POR LITIGÂNCIA DE MÁ-FÉ, COM JUNTADA DE DOCUMENTOS</w:t>
      </w:r>
    </w:p>
    <w:p>
      <w:pPr>
        <w:spacing w:after="120" w:line="360"/>
        <w:jc w:val="both"/>
      </w:pPr>
      <w:r>
        <w:rPr>
          <w:rFonts w:ascii="Times New Roman" w:cs="Times New Roman" w:eastAsia="Times New Roman" w:hAnsi="Times New Roman"/>
          <w:b w:val="false"/>
          <w:bCs w:val="false"/>
          <w:i w:val="false"/>
          <w:iCs w:val="false"/>
        </w:rPr>
        <w:t xml:space="preserve">(arts. 9º, 10, 77, I, 435 e 437, § 1º, do CPC)</w:t>
      </w:r>
    </w:p>
    <w:p>
      <w:pPr>
        <w:pStyle w:val="ListParagraph"/>
        <w:numPr>
          <w:ilvl w:val="0"/>
          <w:numId w:val="10"/>
        </w:numPr>
        <w:spacing w:after="80" w:line="340"/>
        <w:jc w:val="both"/>
      </w:pPr>
      <w:r>
        <w:rPr>
          <w:rFonts w:ascii="Times New Roman" w:cs="Times New Roman" w:eastAsia="Times New Roman" w:hAnsi="Times New Roman"/>
          <w:b/>
          <w:bCs/>
          <w:i w:val="false"/>
          <w:iCs w:val="false"/>
        </w:rPr>
        <w:t xml:space="preserve">Cabimento</w:t>
      </w:r>
      <w:r>
        <w:rPr>
          <w:rFonts w:ascii="Times New Roman" w:cs="Times New Roman" w:eastAsia="Times New Roman" w:hAnsi="Times New Roman"/>
          <w:b w:val="false"/>
          <w:bCs w:val="false"/>
          <w:i w:val="false"/>
          <w:iCs w:val="false"/>
        </w:rPr>
        <w:t xml:space="preserve"> (meia página). A contraminuta trouxe pedido novo de condenação por má-fé (arts. 9º e 10) e afirmação de fato contrária aos autos, cuja correção se faz com documentos já existentes na origem (art. 435).</w:t>
      </w:r>
    </w:p>
    <w:p>
      <w:pPr>
        <w:pStyle w:val="ListParagraph"/>
        <w:numPr>
          <w:ilvl w:val="0"/>
          <w:numId w:val="10"/>
        </w:numPr>
        <w:spacing w:after="80" w:line="340"/>
        <w:jc w:val="both"/>
      </w:pPr>
      <w:r>
        <w:rPr>
          <w:rFonts w:ascii="Times New Roman" w:cs="Times New Roman" w:eastAsia="Times New Roman" w:hAnsi="Times New Roman"/>
          <w:b/>
          <w:bCs/>
          <w:i w:val="false"/>
          <w:iCs w:val="false"/>
        </w:rPr>
        <w:t xml:space="preserve">Correção de fato: houve embargos, julgados e transitados</w:t>
      </w:r>
      <w:r>
        <w:rPr>
          <w:rFonts w:ascii="Times New Roman" w:cs="Times New Roman" w:eastAsia="Times New Roman" w:hAnsi="Times New Roman"/>
          <w:b w:val="false"/>
          <w:bCs w:val="false"/>
          <w:i w:val="false"/>
          <w:iCs w:val="false"/>
        </w:rPr>
        <w:t xml:space="preserve"> (uma página). Tabela da seção 5.A. Transcrever fls. 104 do AI ao lado de fls. 2184, 2144, 2154 e 1419/1421 e-SAJ.</w:t>
      </w:r>
    </w:p>
    <w:p>
      <w:pPr>
        <w:pStyle w:val="ListParagraph"/>
        <w:numPr>
          <w:ilvl w:val="0"/>
          <w:numId w:val="10"/>
        </w:numPr>
        <w:spacing w:after="80" w:line="340"/>
        <w:jc w:val="both"/>
      </w:pPr>
      <w:r>
        <w:rPr>
          <w:rFonts w:ascii="Times New Roman" w:cs="Times New Roman" w:eastAsia="Times New Roman" w:hAnsi="Times New Roman"/>
          <w:b/>
          <w:bCs/>
          <w:i w:val="false"/>
          <w:iCs w:val="false"/>
        </w:rPr>
        <w:t xml:space="preserve">A homologação de 1995 cumpre a sentença transitada em julgado</w:t>
      </w:r>
      <w:r>
        <w:rPr>
          <w:rFonts w:ascii="Times New Roman" w:cs="Times New Roman" w:eastAsia="Times New Roman" w:hAnsi="Times New Roman"/>
          <w:b w:val="false"/>
          <w:bCs w:val="false"/>
          <w:i w:val="false"/>
          <w:iCs w:val="false"/>
        </w:rPr>
        <w:t xml:space="preserve"> (duas páginas). Seção 5.B, itens 1 a 4. Transcrever fls. 2178 e fls. 2148 e-SAJ.</w:t>
      </w:r>
    </w:p>
    <w:p>
      <w:pPr>
        <w:pStyle w:val="ListParagraph"/>
        <w:numPr>
          <w:ilvl w:val="0"/>
          <w:numId w:val="10"/>
        </w:numPr>
        <w:spacing w:after="80" w:line="340"/>
        <w:jc w:val="both"/>
      </w:pPr>
      <w:r>
        <w:rPr>
          <w:rFonts w:ascii="Times New Roman" w:cs="Times New Roman" w:eastAsia="Times New Roman" w:hAnsi="Times New Roman"/>
          <w:b/>
          <w:bCs/>
          <w:i w:val="false"/>
          <w:iCs w:val="false"/>
        </w:rPr>
        <w:t xml:space="preserve">A contradição da contraminuta</w:t>
      </w:r>
      <w:r>
        <w:rPr>
          <w:rFonts w:ascii="Times New Roman" w:cs="Times New Roman" w:eastAsia="Times New Roman" w:hAnsi="Times New Roman"/>
          <w:b w:val="false"/>
          <w:bCs w:val="false"/>
          <w:i w:val="false"/>
          <w:iCs w:val="false"/>
        </w:rPr>
        <w:t xml:space="preserve"> (meia página). Seção 5.C.</w:t>
      </w:r>
    </w:p>
    <w:p>
      <w:pPr>
        <w:pStyle w:val="ListParagraph"/>
        <w:numPr>
          <w:ilvl w:val="0"/>
          <w:numId w:val="10"/>
        </w:numPr>
        <w:spacing w:after="80" w:line="340"/>
        <w:jc w:val="both"/>
      </w:pPr>
      <w:r>
        <w:rPr>
          <w:rFonts w:ascii="Times New Roman" w:cs="Times New Roman" w:eastAsia="Times New Roman" w:hAnsi="Times New Roman"/>
          <w:b/>
          <w:bCs/>
          <w:i w:val="false"/>
          <w:iCs w:val="false"/>
        </w:rPr>
        <w:t xml:space="preserve">Não houve anuência</w:t>
      </w:r>
      <w:r>
        <w:rPr>
          <w:rFonts w:ascii="Times New Roman" w:cs="Times New Roman" w:eastAsia="Times New Roman" w:hAnsi="Times New Roman"/>
          <w:b w:val="false"/>
          <w:bCs w:val="false"/>
          <w:i w:val="false"/>
          <w:iCs w:val="false"/>
        </w:rPr>
        <w:t xml:space="preserve"> (uma página). Seção 5.D. Transcrever fls. 3077 e o trecho de fls. 3441 que a contraminuta reproduz em fls. 110 do AI.</w:t>
      </w:r>
    </w:p>
    <w:p>
      <w:pPr>
        <w:pStyle w:val="ListParagraph"/>
        <w:numPr>
          <w:ilvl w:val="0"/>
          <w:numId w:val="10"/>
        </w:numPr>
        <w:spacing w:after="80" w:line="340"/>
        <w:jc w:val="both"/>
      </w:pPr>
      <w:r>
        <w:rPr>
          <w:rFonts w:ascii="Times New Roman" w:cs="Times New Roman" w:eastAsia="Times New Roman" w:hAnsi="Times New Roman"/>
          <w:b/>
          <w:bCs/>
          <w:i w:val="false"/>
          <w:iCs w:val="false"/>
        </w:rPr>
        <w:t xml:space="preserve">A preclusão de fls. 3066 não prevalece sobre a coisa julgada</w:t>
      </w:r>
      <w:r>
        <w:rPr>
          <w:rFonts w:ascii="Times New Roman" w:cs="Times New Roman" w:eastAsia="Times New Roman" w:hAnsi="Times New Roman"/>
          <w:b w:val="false"/>
          <w:bCs w:val="false"/>
          <w:i w:val="false"/>
          <w:iCs w:val="false"/>
        </w:rPr>
        <w:t xml:space="preserve"> (uma página e meia). Seção 5.E.</w:t>
      </w:r>
    </w:p>
    <w:p>
      <w:pPr>
        <w:pStyle w:val="ListParagraph"/>
        <w:numPr>
          <w:ilvl w:val="0"/>
          <w:numId w:val="10"/>
        </w:numPr>
        <w:spacing w:after="80" w:line="340"/>
        <w:jc w:val="both"/>
      </w:pPr>
      <w:r>
        <w:rPr>
          <w:rFonts w:ascii="Times New Roman" w:cs="Times New Roman" w:eastAsia="Times New Roman" w:hAnsi="Times New Roman"/>
          <w:b/>
          <w:bCs/>
          <w:i w:val="false"/>
          <w:iCs w:val="false"/>
        </w:rPr>
        <w:t xml:space="preserve">Cessão e encargos</w:t>
      </w:r>
      <w:r>
        <w:rPr>
          <w:rFonts w:ascii="Times New Roman" w:cs="Times New Roman" w:eastAsia="Times New Roman" w:hAnsi="Times New Roman"/>
          <w:b w:val="false"/>
          <w:bCs w:val="false"/>
          <w:i w:val="false"/>
          <w:iCs w:val="false"/>
        </w:rPr>
        <w:t xml:space="preserve"> (meia página). Seção 5.F, com o registro de que houve recurso contra fls. 3038/3044 (AI 2236642).</w:t>
      </w:r>
    </w:p>
    <w:p>
      <w:pPr>
        <w:pStyle w:val="ListParagraph"/>
        <w:numPr>
          <w:ilvl w:val="0"/>
          <w:numId w:val="10"/>
        </w:numPr>
        <w:spacing w:after="80" w:line="340"/>
        <w:jc w:val="both"/>
      </w:pPr>
      <w:r>
        <w:rPr>
          <w:rFonts w:ascii="Times New Roman" w:cs="Times New Roman" w:eastAsia="Times New Roman" w:hAnsi="Times New Roman"/>
          <w:b/>
          <w:bCs/>
          <w:i w:val="false"/>
          <w:iCs w:val="false"/>
        </w:rPr>
        <w:t xml:space="preserve">Improcedência do pedido de multa</w:t>
      </w:r>
      <w:r>
        <w:rPr>
          <w:rFonts w:ascii="Times New Roman" w:cs="Times New Roman" w:eastAsia="Times New Roman" w:hAnsi="Times New Roman"/>
          <w:b w:val="false"/>
          <w:bCs w:val="false"/>
          <w:i w:val="false"/>
          <w:iCs w:val="false"/>
        </w:rPr>
        <w:t xml:space="preserve"> (meia página). Seção 5.G.</w:t>
      </w:r>
    </w:p>
    <w:p>
      <w:pPr>
        <w:pStyle w:val="ListParagraph"/>
        <w:numPr>
          <w:ilvl w:val="0"/>
          <w:numId w:val="10"/>
        </w:numPr>
        <w:spacing w:after="80" w:line="340"/>
        <w:jc w:val="both"/>
      </w:pPr>
      <w:r>
        <w:rPr>
          <w:rFonts w:ascii="Times New Roman" w:cs="Times New Roman" w:eastAsia="Times New Roman" w:hAnsi="Times New Roman"/>
          <w:b/>
          <w:bCs/>
          <w:i w:val="false"/>
          <w:iCs w:val="false"/>
        </w:rPr>
        <w:t xml:space="preserve">Art. 1.018</w:t>
      </w:r>
      <w:r>
        <w:rPr>
          <w:rFonts w:ascii="Times New Roman" w:cs="Times New Roman" w:eastAsia="Times New Roman" w:hAnsi="Times New Roman"/>
          <w:b w:val="false"/>
          <w:bCs w:val="false"/>
          <w:i w:val="false"/>
          <w:iCs w:val="false"/>
        </w:rPr>
        <w:t xml:space="preserve"> (três linhas). Seção 5.H.</w:t>
      </w:r>
    </w:p>
    <w:p>
      <w:pPr>
        <w:pStyle w:val="ListParagraph"/>
        <w:numPr>
          <w:ilvl w:val="0"/>
          <w:numId w:val="10"/>
        </w:numPr>
        <w:spacing w:after="80" w:line="340"/>
        <w:jc w:val="both"/>
      </w:pPr>
      <w:r>
        <w:rPr>
          <w:rFonts w:ascii="Times New Roman" w:cs="Times New Roman" w:eastAsia="Times New Roman" w:hAnsi="Times New Roman"/>
          <w:b/>
          <w:bCs/>
          <w:i w:val="false"/>
          <w:iCs w:val="false"/>
        </w:rPr>
        <w:t xml:space="preserve">Pedidos:</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(a) rejeição do pedido de condenação dos agravantes por litigância de má-fé;</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(b) registro da afirmação contrária aos autos (fls. 104 e 107 do AI), para os fins dos arts. 77, I, e 80, II. Na opção 2 da seção 5.A, pedir a condenação do agravado;</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(c) juntada das 6 folhas da seção 7;</w:t>
      </w:r>
    </w:p>
    <w:p>
      <w:pPr>
        <w:pStyle w:val="ListParagraph"/>
        <w:numPr>
          <w:ilvl w:val="1"/>
          <w:numId w:val="2"/>
        </w:numPr>
        <w:spacing w:after="80" w:line="340"/>
        <w:jc w:val="both"/>
      </w:pPr>
      <w:r>
        <w:rPr>
          <w:rFonts w:ascii="Times New Roman" w:cs="Times New Roman" w:eastAsia="Times New Roman" w:hAnsi="Times New Roman"/>
          <w:b w:val="false"/>
          <w:bCs w:val="false"/>
          <w:i w:val="false"/>
          <w:iCs w:val="false"/>
        </w:rPr>
        <w:t xml:space="preserve">(d) provimento do agravo nos termos da inicial recursal, </w:t>
      </w:r>
      <w:r>
        <w:rPr>
          <w:rFonts w:ascii="Times New Roman" w:cs="Times New Roman" w:eastAsia="Times New Roman" w:hAnsi="Times New Roman"/>
          <w:b/>
          <w:bCs/>
          <w:i w:val="false"/>
          <w:iCs w:val="false"/>
        </w:rPr>
        <w:t xml:space="preserve">com o pedido principal ajustado</w:t>
      </w:r>
      <w:r>
        <w:rPr>
          <w:rFonts w:ascii="Times New Roman" w:cs="Times New Roman" w:eastAsia="Times New Roman" w:hAnsi="Times New Roman"/>
          <w:b w:val="false"/>
          <w:bCs w:val="false"/>
          <w:i w:val="false"/>
          <w:iCs w:val="false"/>
        </w:rPr>
        <w:t xml:space="preserve"> conforme a auditoria v5: reconhecimento da base de 1995, sob coisa julgada e homologação, com liquidação na origem.</w:t>
      </w:r>
    </w:p>
    <w:p>
      <w:pPr>
        <w:spacing w:after="120" w:line="360"/>
        <w:jc w:val="both"/>
      </w:pPr>
      <w:r>
        <w:rPr>
          <w:rFonts w:ascii="Times New Roman" w:cs="Times New Roman" w:eastAsia="Times New Roman" w:hAnsi="Times New Roman"/>
          <w:b/>
          <w:bCs/>
          <w:i w:val="false"/>
          <w:iCs w:val="false"/>
        </w:rPr>
        <w:t xml:space="preserve">Frase-síntese sugerida para o fecho:</w:t>
      </w:r>
      <w:r>
        <w:rPr>
          <w:rFonts w:ascii="Times New Roman" w:cs="Times New Roman" w:eastAsia="Times New Roman" w:hAnsi="Times New Roman"/>
          <w:b w:val="false"/>
          <w:bCs w:val="false"/>
          <w:i w:val="false"/>
          <w:iCs w:val="false"/>
        </w:rPr>
        <w:t xml:space="preserve"> "A contraminuta sustenta que a execução não teve embargos e que o título jamais foi objeto de decisão homologatória. Os autos mostram o contrário: sentença de 03/05/1991, acórdão de 05/10/1993, trânsito em 10/11/1993 e homologação de 23/11/1995, esta em cumprimento expresso daquela sentença. É sobre essa base, e não sobre o principal nominal de 1987, que a execução deve prosseguir."</w:t>
      </w: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10. Riscos remanescentes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92"/>
        <w:gridCol w:w="886"/>
        <w:gridCol w:w="4093"/>
      </w:tblGrid>
      <w:tr>
        <w:trPr>
          <w:cantSplit/>
          <w:tblHeader/>
        </w:trPr>
        <w:tc>
          <w:tcPr>
            <w:tcW w:type="dxa" w:w="409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Risco</w:t>
            </w:r>
          </w:p>
        </w:tc>
        <w:tc>
          <w:tcPr>
            <w:tcW w:type="dxa" w:w="88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Probabilidade</w:t>
            </w:r>
          </w:p>
        </w:tc>
        <w:tc>
          <w:tcPr>
            <w:tcW w:type="dxa" w:w="4093"/>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i w:val="false"/>
                <w:iCs w:val="false"/>
                <w:sz w:val="19"/>
                <w:szCs w:val="19"/>
              </w:rPr>
              <w:t xml:space="preserve">Resposta</w:t>
            </w:r>
          </w:p>
        </w:tc>
      </w:tr>
      <w:tr>
        <w:trPr>
          <w:cantSplit/>
          <w:tblHeader w:val="false"/>
        </w:trPr>
        <w:tc>
          <w:tcPr>
            <w:tcW w:type="dxa" w:w="40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 Câmara não conhece da manifestação por falta de previsão de réplica</w:t>
            </w:r>
          </w:p>
        </w:tc>
        <w:tc>
          <w:tcPr>
            <w:tcW w:type="dxa" w:w="8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40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fundamentar nos arts. 9º, 10 e 435; manter a peça curta; repetir o essencial nos memoriais</w:t>
            </w:r>
          </w:p>
        </w:tc>
      </w:tr>
      <w:tr>
        <w:trPr>
          <w:cantSplit/>
          <w:tblHeader w:val="false"/>
        </w:trPr>
        <w:tc>
          <w:tcPr>
            <w:tcW w:type="dxa" w:w="40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Vista de 15 dias (art. 437, § 1º) adia o julgamento</w:t>
            </w:r>
          </w:p>
        </w:tc>
        <w:tc>
          <w:tcPr>
            <w:tcW w:type="dxa" w:w="8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40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juntar só 6 folhas já existentes na origem; pedir dispensa da vista por serem peças conhecidas do agravado</w:t>
            </w:r>
          </w:p>
        </w:tc>
      </w:tr>
      <w:tr>
        <w:trPr>
          <w:cantSplit/>
          <w:tblHeader w:val="false"/>
        </w:trPr>
        <w:tc>
          <w:tcPr>
            <w:tcW w:type="dxa" w:w="40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AgInt no REsp 1.455.741/DF aplicado contra fls. 3066</w:t>
            </w:r>
          </w:p>
        </w:tc>
        <w:tc>
          <w:tcPr>
            <w:tcW w:type="dxa" w:w="8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alta</w:t>
            </w:r>
          </w:p>
        </w:tc>
        <w:tc>
          <w:tcPr>
            <w:tcW w:type="dxa" w:w="40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coisa julgada como matéria de ordem pública (seção 5.E)</w:t>
            </w:r>
          </w:p>
        </w:tc>
      </w:tr>
      <w:tr>
        <w:trPr>
          <w:cantSplit/>
          <w:tblHeader w:val="false"/>
        </w:trPr>
        <w:tc>
          <w:tcPr>
            <w:tcW w:type="dxa" w:w="40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Frase "não contempla tal anomalia" usada pelo agravado</w:t>
            </w:r>
          </w:p>
        </w:tc>
        <w:tc>
          <w:tcPr>
            <w:tcW w:type="dxa" w:w="8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40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5.B, cuidado</w:t>
            </w:r>
          </w:p>
        </w:tc>
      </w:tr>
      <w:tr>
        <w:trPr>
          <w:cantSplit/>
          <w:tblHeader w:val="false"/>
        </w:trPr>
        <w:tc>
          <w:tcPr>
            <w:tcW w:type="dxa" w:w="40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Pedido de multa acolhido contra os agravantes</w:t>
            </w:r>
          </w:p>
        </w:tc>
        <w:tc>
          <w:tcPr>
            <w:tcW w:type="dxa" w:w="8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baixa</w:t>
            </w:r>
          </w:p>
        </w:tc>
        <w:tc>
          <w:tcPr>
            <w:tcW w:type="dxa" w:w="40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seção 5.G</w:t>
            </w:r>
          </w:p>
        </w:tc>
      </w:tr>
      <w:tr>
        <w:trPr>
          <w:cantSplit/>
          <w:tblHeader w:val="false"/>
        </w:trPr>
        <w:tc>
          <w:tcPr>
            <w:tcW w:type="dxa" w:w="4092"/>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Precedente da 13ª CDP contra encargos pelo cessionário</w:t>
            </w:r>
          </w:p>
        </w:tc>
        <w:tc>
          <w:tcPr>
            <w:tcW w:type="dxa" w:w="88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média</w:t>
            </w:r>
          </w:p>
        </w:tc>
        <w:tc>
          <w:tcPr>
            <w:tcW w:type="dxa" w:w="409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b w:val="false"/>
                <w:bCs w:val="false"/>
                <w:i w:val="false"/>
                <w:iCs w:val="false"/>
                <w:sz w:val="19"/>
                <w:szCs w:val="19"/>
              </w:rPr>
              <w:t xml:space="preserve">limitar a 1987 a 1995 (seção 5.F)</w:t>
            </w:r>
          </w:p>
        </w:tc>
      </w:tr>
    </w:tbl>
    <w:p>
      <w:pPr>
        <w:spacing w:after="120"/>
      </w:pPr>
    </w:p>
    <w:p>
      <w:pPr>
        <w:pBdr>
          <w:bottom w:val="single" w:color="1F3864" w:sz="6" w:space="1"/>
        </w:pBdr>
        <w:spacing w:after="240" w:before="120"/>
      </w:pPr>
    </w:p>
    <w:p>
      <w:pPr>
        <w:pStyle w:val="Heading1"/>
        <w:keepNext/>
      </w:pPr>
      <w:r>
        <w:rPr>
          <w:rFonts w:ascii="Times New Roman" w:cs="Times New Roman" w:eastAsia="Times New Roman" w:hAnsi="Times New Roman"/>
        </w:rPr>
        <w:t xml:space="preserve">11. Pendências 🟨</w:t>
      </w:r>
    </w:p>
    <w:p>
      <w:pPr>
        <w:pStyle w:val="ListParagraph"/>
        <w:numPr>
          <w:ilvl w:val="0"/>
          <w:numId w:val="11"/>
        </w:numPr>
        <w:spacing w:after="80" w:line="340"/>
        <w:jc w:val="both"/>
      </w:pPr>
      <w:r>
        <w:rPr>
          <w:rFonts w:ascii="Times New Roman" w:cs="Times New Roman" w:eastAsia="Times New Roman" w:hAnsi="Times New Roman"/>
          <w:b/>
          <w:bCs/>
          <w:i w:val="false"/>
          <w:iCs w:val="false"/>
        </w:rPr>
        <w:t xml:space="preserve">Fls. 3075 e-SAJ:</w:t>
      </w:r>
      <w:r>
        <w:rPr>
          <w:rFonts w:ascii="Times New Roman" w:cs="Times New Roman" w:eastAsia="Times New Roman" w:hAnsi="Times New Roman"/>
          <w:b w:val="false"/>
          <w:bCs w:val="false"/>
          <w:i w:val="false"/>
          <w:iCs w:val="false"/>
        </w:rPr>
        <w:t xml:space="preserve"> conferir a data de publicação de fls. 3064/3066, que a contraminuta invoca em fls. 98 do AI.</w:t>
      </w:r>
    </w:p>
    <w:p>
      <w:pPr>
        <w:pStyle w:val="ListParagraph"/>
        <w:numPr>
          <w:ilvl w:val="0"/>
          <w:numId w:val="11"/>
        </w:numPr>
        <w:spacing w:after="80" w:line="340"/>
        <w:jc w:val="both"/>
      </w:pPr>
      <w:r>
        <w:rPr>
          <w:rFonts w:ascii="Times New Roman" w:cs="Times New Roman" w:eastAsia="Times New Roman" w:hAnsi="Times New Roman"/>
          <w:b/>
          <w:bCs/>
          <w:i w:val="false"/>
          <w:iCs w:val="false"/>
        </w:rPr>
        <w:t xml:space="preserve">Fls. 3082/3084 e-SAJ (17/07/2025):</w:t>
      </w:r>
      <w:r>
        <w:rPr>
          <w:rFonts w:ascii="Times New Roman" w:cs="Times New Roman" w:eastAsia="Times New Roman" w:hAnsi="Times New Roman"/>
          <w:b w:val="false"/>
          <w:bCs w:val="false"/>
          <w:i w:val="false"/>
          <w:iCs w:val="false"/>
        </w:rPr>
        <w:t xml:space="preserve"> conferir se a restituição de prazo alcançou só os executados. Isso reforça que o item 2 foi tratado como comando de cumprimento.</w:t>
      </w:r>
    </w:p>
    <w:p>
      <w:pPr>
        <w:pStyle w:val="ListParagraph"/>
        <w:numPr>
          <w:ilvl w:val="0"/>
          <w:numId w:val="11"/>
        </w:numPr>
        <w:spacing w:after="80" w:line="340"/>
        <w:jc w:val="both"/>
      </w:pPr>
      <w:r>
        <w:rPr>
          <w:rFonts w:ascii="Times New Roman" w:cs="Times New Roman" w:eastAsia="Times New Roman" w:hAnsi="Times New Roman"/>
          <w:b/>
          <w:bCs/>
          <w:i w:val="false"/>
          <w:iCs w:val="false"/>
        </w:rPr>
        <w:t xml:space="preserve">Petição e planilha dos exequentes de 28/07/2026:</w:t>
      </w:r>
      <w:r>
        <w:rPr>
          <w:rFonts w:ascii="Times New Roman" w:cs="Times New Roman" w:eastAsia="Times New Roman" w:hAnsi="Times New Roman"/>
          <w:b w:val="false"/>
          <w:bCs w:val="false"/>
          <w:i w:val="false"/>
          <w:iCs w:val="false"/>
        </w:rPr>
        <w:t xml:space="preserve"> fls. 3441/3443 e-SAJ foram lidas só na camada de texto. Conferir se a planilha juntada segue a metodologia de 1987, porque o executado, em fls. 3444, diz que ela "não seguiu o comando".</w:t>
      </w:r>
    </w:p>
    <w:p>
      <w:pPr>
        <w:pStyle w:val="ListParagraph"/>
        <w:numPr>
          <w:ilvl w:val="0"/>
          <w:numId w:val="11"/>
        </w:numPr>
        <w:spacing w:after="80" w:line="340"/>
        <w:jc w:val="both"/>
      </w:pPr>
      <w:r>
        <w:rPr>
          <w:rFonts w:ascii="Times New Roman" w:cs="Times New Roman" w:eastAsia="Times New Roman" w:hAnsi="Times New Roman"/>
          <w:b/>
          <w:bCs/>
          <w:i w:val="false"/>
          <w:iCs w:val="false"/>
        </w:rPr>
        <w:t xml:space="preserve">Pauta:</w:t>
      </w:r>
      <w:r>
        <w:rPr>
          <w:rFonts w:ascii="Times New Roman" w:cs="Times New Roman" w:eastAsia="Times New Roman" w:hAnsi="Times New Roman"/>
          <w:b w:val="false"/>
          <w:bCs w:val="false"/>
          <w:i w:val="false"/>
          <w:iCs w:val="false"/>
        </w:rPr>
        <w:t xml:space="preserve"> acompanhar diariamente o DJEN. A publicação abre a janela de 48 horas do art. 11, II, e do art. 12 da Resolução TJSP 984/2025.</w:t>
      </w:r>
    </w:p>
    <w:p>
      <w:pPr>
        <w:pBdr>
          <w:bottom w:val="single" w:color="1F3864" w:sz="6" w:space="1"/>
        </w:pBdr>
        <w:spacing w:after="240" w:before="120"/>
      </w:pPr>
    </w:p>
    <w:p>
      <w:pPr>
        <w:spacing w:after="120" w:line="360"/>
        <w:jc w:val="both"/>
      </w:pPr>
      <w:r>
        <w:rPr>
          <w:rFonts w:ascii="Times New Roman" w:cs="Times New Roman" w:eastAsia="Times New Roman" w:hAnsi="Times New Roman"/>
          <w:b w:val="false"/>
          <w:bCs w:val="false"/>
          <w:i/>
          <w:iCs/>
        </w:rPr>
        <w:t xml:space="preserve">Fontes lidas para este relatório: contraminuta (fls. 95 a 111 do AI, 17 de 17 páginas, em imagem); fls. 3077 e-SAJ (imagem); fls. 3441/3459 e-SAJ (camada de texto); sentença e acórdão dos embargos (fls. 2144/2184 e-SAJ, imagem); auditoria pente-fino v5. Nenhum julgado foi citado sem leitura do inteiro teor na pasta, salvo os marcados como "só transcrito" na auditoria v5, que não foram usados aqui.</w:t>
      </w:r>
    </w:p>
    <w:sectPr>
      <w:headerReference w:type="default" r:id="rId7"/>
      <w:footerReference w:type="default" r:id="rId8"/>
      <w:pgSz w:w="11906" w:h="16838" w:orient="portrait"/>
      <w:pgMar w:top="1701" w:right="1134" w:bottom="1134" w:left="1701" w:header="709"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Documento de trabalho — uso restrito da parte e de seu advogado   |   Página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de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right"/>
    </w:pPr>
    <w:r>
      <w:rPr>
        <w:rFonts w:ascii="Times New Roman" w:cs="Times New Roman" w:eastAsia="Times New Roman" w:hAnsi="Times New Roman"/>
        <w:color w:val="595959"/>
        <w:sz w:val="18"/>
        <w:szCs w:val="18"/>
      </w:rPr>
      <w:t xml:space="preserve">Relatório para a resposta à contraminuta — AI nº 2186351-42.2026.8.26.0000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lvl w:ilvl="2" w15:tentative="1">
      <w:start w:val="1"/>
      <w:numFmt w:val="bullet"/>
      <w:lvlText w:val="▪"/>
      <w:lvlJc w:val="left"/>
      <w:pPr>
        <w:ind w:left="1701" w:hanging="283"/>
      </w:pPr>
    </w:lvl>
  </w:abstractNum>
  <w:abstractNum w:abstractNumId="3"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4"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5"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6"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7"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8"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9"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10"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abstractNum w:abstractNumId="11" w15:restartNumberingAfterBreak="0">
    <w:multiLevelType w:val="hybridMultilevel"/>
    <w:lvl w:ilvl="0" w15:tentative="1">
      <w:start w:val="1"/>
      <w:numFmt w:val="decimal"/>
      <w:lvlText w:val="%1."/>
      <w:lvlJc w:val="left"/>
      <w:pPr>
        <w:ind w:left="567" w:hanging="360"/>
      </w:pPr>
    </w:lvl>
    <w:lvl w:ilvl="1" w15:tentative="1">
      <w:start w:val="1"/>
      <w:numFmt w:val="lowerLetter"/>
      <w:lvlText w:val="%2."/>
      <w:lvlJc w:val="left"/>
      <w:pPr>
        <w:ind w:left="1134" w:hanging="360"/>
      </w:pPr>
    </w:lvl>
    <w:lvl w:ilvl="2" w15:tentative="1">
      <w:start w:val="1"/>
      <w:numFmt w:val="lowerRoman"/>
      <w:lvlText w:val="%3."/>
      <w:lvlJc w:val="left"/>
      <w:pPr>
        <w:ind w:left="1701"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2"/>
      </w:pBdr>
      <w:spacing w:after="180" w:before="360"/>
      <w:outlineLvl w:val="0"/>
    </w:pPr>
    <w:rPr>
      <w:rFonts w:ascii="Times New Roman" w:cs="Times New Roman" w:eastAsia="Times New Roman" w:hAnsi="Times New Roman"/>
      <w:b/>
      <w:bCs/>
      <w:color w:val="1F3864"/>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4"/>
      <w:szCs w:val="24"/>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para a resposta à contraminuta — AI 2186351-42.2026.8.26.0000</dc:title>
  <dc:creator>Parecer técnico</dc:creator>
  <cp:lastModifiedBy>Un-named</cp:lastModifiedBy>
  <cp:revision>1</cp:revision>
  <dcterms:created xsi:type="dcterms:W3CDTF">2026-09-28T14:27:19.621Z</dcterms:created>
  <dcterms:modified xsi:type="dcterms:W3CDTF">2026-09-28T14:27:19.621Z</dcterms:modified>
</cp:coreProperties>
</file>

<file path=docProps/custom.xml><?xml version="1.0" encoding="utf-8"?>
<Properties xmlns="http://schemas.openxmlformats.org/officeDocument/2006/custom-properties" xmlns:vt="http://schemas.openxmlformats.org/officeDocument/2006/docPropsVTypes"/>
</file>