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Conferência final por diferença — Manifestação sobre a contraminuta v3.17 — AI 2186351-42.2026.8.26.0000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Claude Code — Claude Fable 5.1 (Anthropic) | Data: 30/09/2026 | Hora: 17:01:21 (Brasília) | Chat: Auditoria EPE Ourinhos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Arquivos recebidos: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(1) Claude_v3.17_Manifestacao_AI_2186351-2026_DEFESA.pdf — 18 páginas (folha de controle + 17 de peça; versão de trabalho). (2) Claude_v.3.17_Relacao_Citacoes_AI_2186351-2026_DEFESA.pdf — 4 páginas. (3) Claude_v3.17_Docs_1a14_AI_2186351-2026.zip — 14 PDFs, 18 páginas.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Não recebido, de novo, o PDF da versão de protocolo.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Status de leitura: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Manifestação v3.17: 18 de 18, comparada com a v3.16 por diferença de texto integral. Relação v.3.17: 4 de 4, comparada com a v.3.16. Zip: 18 de 18 páginas, comparadas por assinatura de imagem com o zip v3.16.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Primeiro passo.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Tenho todos os documentos. Dispositivo novo: art. 1.015, parágrafo único, do CPC ("Também caberá agravo de instrumento contra decisões interlocutórias proferidas na fase de liquidação de sentença ou de cumprimento de sentença, no processo de execução e no processo de inventário"), conferido. Nenhum julgado novo.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9"/>
        <w:gridCol w:w="1059"/>
        <w:gridCol w:w="4503"/>
        <w:gridCol w:w="7949"/>
      </w:tblGrid>
      <w:tr>
        <w:trPr>
          <w:cantSplit/>
          <w:tblHeader/>
        </w:trPr>
        <w:tc>
          <w:tcPr>
            <w:tcW w:type="dxa" w:w="1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1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Sinal</w:t>
            </w:r>
          </w:p>
        </w:tc>
        <w:tc>
          <w:tcPr>
            <w:tcW w:type="dxa" w:w="45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Item</w:t>
            </w:r>
          </w:p>
        </w:tc>
        <w:tc>
          <w:tcPr>
            <w:tcW w:type="dxa" w:w="79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  <w:tblHeader w:val="false"/>
        </w:trPr>
        <w:tc>
          <w:tcPr>
            <w:tcW w:type="dxa" w:w="1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45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T1 — Diferença v3.16 → v3.17</w:t>
            </w:r>
          </w:p>
        </w:tc>
        <w:tc>
          <w:tcPr>
            <w:tcW w:type="dxa" w:w="79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Só duas alterações: a folha de controle e a razão "Terceira" da Seção VI, a partir de "opera aqui em favor dos agravantes:". O texto novo coincide, palavra por palavra, com o transcrito no prompt (inclusive o ponto e vírgula antes de "a homologação foi publicada"). Nenhuma outra diferença; nenhum parêntese duplo; data 30/09/2026.</w:t>
            </w:r>
          </w:p>
        </w:tc>
      </w:tr>
      <w:tr>
        <w:trPr>
          <w:cantSplit/>
          <w:tblHeader w:val="false"/>
        </w:trPr>
        <w:tc>
          <w:tcPr>
            <w:tcW w:type="dxa" w:w="1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45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T2 — Achado 1 (frases finais)</w:t>
            </w:r>
          </w:p>
        </w:tc>
        <w:tc>
          <w:tcPr>
            <w:tcW w:type="dxa" w:w="79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 duas frases sobre prevalência da decisão anterior foram suprimidas e substituídas pelo texto proposto. A frase inicial concessiva da "Terceira" ("Ainda que se atribuísse ao item 2 de fls. 3066 o alcance de afastar a conta de 1995…") convive com o texto novo: "não examinou nem mencionou" é fato (fls. 3066 não cita a conta de 1995), compatível com a hipótese de afastamento tácito, e a conclusão ("não há duas decisões estáveis em conflito") não depende de negar a hipótese. Sem contradição com as razões Primeira (fls. 3066 tratou só da planilha de fls. 3055) e Segunda (contraditório e aceitação tácita). A admissão da preclusão temporal ("perda, pelos exequentes, da faculdade de agravar") já constava da abertura da Seção VI e agora vem qualificada.</w:t>
            </w:r>
          </w:p>
        </w:tc>
      </w:tr>
      <w:tr>
        <w:trPr>
          <w:cantSplit/>
          <w:tblHeader w:val="false"/>
        </w:trPr>
        <w:tc>
          <w:tcPr>
            <w:tcW w:type="dxa" w:w="1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45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T2 — Achado 2 ("primeira decisão")</w:t>
            </w:r>
          </w:p>
        </w:tc>
        <w:tc>
          <w:tcPr>
            <w:tcW w:type="dxa" w:w="79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"a decisão que delimitou o cálculo, em cumprimento da sentença de 1991 e do acórdão de 1993, é a homologação de 1995": sem critério de anterioridade; harmonizado com o parágrafo seguinte ("fixação judicial expressa e anterior é a da sentença de 1991 e a da homologação de 1995").</w:t>
            </w:r>
          </w:p>
        </w:tc>
      </w:tr>
      <w:tr>
        <w:trPr>
          <w:cantSplit/>
          <w:tblHeader w:val="false"/>
        </w:trPr>
        <w:tc>
          <w:tcPr>
            <w:tcW w:type="dxa" w:w="1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45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T2 — Achado 3 (vista da conta)</w:t>
            </w:r>
          </w:p>
        </w:tc>
        <w:tc>
          <w:tcPr>
            <w:tcW w:type="dxa" w:w="79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Redigido como ordem de vista a ambas as partes, com a conta em fls. 180/183 e-SAJ e o despacho em fls. 200/201 e-SAJ (carimbo 150, doc. 12), "sem que nenhuma delas a impugnasse"; publicação da homologação e não recurso em frase própria, com docs. 13 e 14. Conforme o doc. 12 (lido em imagem na auditoria da v3.16).</w:t>
            </w:r>
          </w:p>
        </w:tc>
      </w:tr>
      <w:tr>
        <w:trPr>
          <w:cantSplit/>
          <w:tblHeader w:val="false"/>
        </w:trPr>
        <w:tc>
          <w:tcPr>
            <w:tcW w:type="dxa" w:w="1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45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T4 — Relação v.3.17</w:t>
            </w:r>
          </w:p>
        </w:tc>
        <w:tc>
          <w:tcPr>
            <w:tcW w:type="dxa" w:w="79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"CPC, art. 1.015, parágrafo único — cabe agravo de instrumento contra interlocutória proferida no processo de execução: a preclusão invocada é a perda da faculdade de agravar de fls. 3066 (Seção VI, razão Terceira)"; nota de versão; 13 julgados e item 16 inalterados.</w:t>
            </w:r>
          </w:p>
        </w:tc>
      </w:tr>
      <w:tr>
        <w:trPr>
          <w:cantSplit/>
          <w:tblHeader w:val="false"/>
        </w:trPr>
        <w:tc>
          <w:tcPr>
            <w:tcW w:type="dxa" w:w="1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45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Zip v3.17</w:t>
            </w:r>
          </w:p>
        </w:tc>
        <w:tc>
          <w:tcPr>
            <w:tcW w:type="dxa" w:w="79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 PDFs, 18 páginas, idênticos página a página ao zip v3.16 (conferido na auditoria anterior).</w:t>
            </w:r>
          </w:p>
        </w:tc>
      </w:tr>
      <w:tr>
        <w:trPr>
          <w:cantSplit/>
          <w:tblHeader w:val="false"/>
        </w:trPr>
        <w:tc>
          <w:tcPr>
            <w:tcW w:type="dxa" w:w="1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45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T3 — Versão de protocolo</w:t>
            </w:r>
          </w:p>
        </w:tc>
        <w:tc>
          <w:tcPr>
            <w:tcW w:type="dxa" w:w="79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Não enviada. O PDF de trabalho recebido tem a folha de controle na página 1 (única com "Claude", "Anthropic", "Opus", "Fable", "Versão", "folha de controle"); o corpo (páginas 2 a 18) está limpo.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Atenção aos metadados: nesta versão de trabalho o campo "Autor" passou a "Claude (Anthropic)"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(na v3.16 era "python-docx"); criador e produtor "Microsoft Word 2013"; fontes Verdana. O PDF de protocolo precisa sair sem a página 1, com autor "José Maria Barbosa — OAB/SP 198.476", sem "Claude" em nenhum campo (Autor, Título, Assunto, Palavras-chave, Criador, Produtor) e com 17 páginas. Paginação do corpo adequada ao e-SAJ.</w:t>
            </w:r>
          </w:p>
        </w:tc>
      </w:tr>
    </w:tbl>
    <w:p>
      <w:pPr>
        <w:spacing w:after="120"/>
      </w:pP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Veredito: v3.17 LIBERADA PARA PROTOCOLO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— texto, anexos e Relação conferidos; antes do envio, conferir localmente os metadados e a ausência da página 1 no PDF de protocolo (item 7), que não me foi enviado.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Itens que não pude verificar: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o PDF da versão de protocolo (texto, paginação e metadados).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Páginas lidas: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Manifestação v3.17: 18 de 18. Relação v.3.17: 4 de 4. Zip: 18 de 18 (14 arquivos).</w:t>
      </w:r>
    </w:p>
    <w:sectPr>
      <w:headerReference w:type="default" r:id="rId7"/>
      <w:footerReference w:type="default" r:id="rId8"/>
      <w:pgSz w:w="16838" w:h="11906" w:orient="landscape"/>
      <w:pgMar w:top="1701" w:right="1134" w:bottom="1134" w:left="1134" w:header="709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Documento de trabalho — uso restrito da parte e de seu advogado   |   Página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 de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2"/>
      </w:pBdr>
      <w:jc w:val="right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Conferência final — Manifestação sobre a contraminuta v3.17 — AI nº 2186351-42.2026.8.26.0000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  <w:lvl w:ilvl="2" w15:tentative="1">
      <w:start w:val="1"/>
      <w:numFmt w:val="bullet"/>
      <w:lvlText w:val="▪"/>
      <w:lvlJc w:val="left"/>
      <w:pPr>
        <w:ind w:left="1701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2"/>
      </w:pBd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Parecer de Auditoria Jurídico-Processual — AI 2186351-42.2026.8.26.0000</dc:title>
  <dc:creator>Parecer técnico</dc:creator>
  <cp:lastModifiedBy>Un-named</cp:lastModifiedBy>
  <cp:revision>1</cp:revision>
  <dcterms:created xsi:type="dcterms:W3CDTF">2026-09-30T20:01:21.948Z</dcterms:created>
  <dcterms:modified xsi:type="dcterms:W3CDTF">2026-09-30T20:01:21.956Z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