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rFonts w:ascii="Times New Roman" w:cs="Times New Roman" w:eastAsia="Times New Roman" w:hAnsi="Times New Roman"/>
          <w:b/>
          <w:bCs/>
          <w:color w:val="1F3864"/>
          <w:sz w:val="30"/>
          <w:szCs w:val="30"/>
        </w:rPr>
        <w:t xml:space="preserve">AUDITORIA PENTE-FINO PARA MEMORIAIS — AI 2186351-42.2026.8.26.0000</w:t>
      </w:r>
    </w:p>
    <w:p>
      <w:pPr>
        <w:spacing w:after="40" w:line="276"/>
        <w:jc w:val="center"/>
      </w:pPr>
      <w:r>
        <w:rPr>
          <w:rFonts w:ascii="Times New Roman" w:cs="Times New Roman" w:eastAsia="Times New Roman" w:hAnsi="Times New Roman"/>
          <w:b/>
          <w:bCs/>
          <w:i w:val="false"/>
          <w:iCs w:val="false"/>
        </w:rPr>
        <w:t xml:space="preserve">Claude Fable 5.1 (Anthropic) | Data: 27/09/2026 | Hora: 19:22:54 (Brasília) | Chat: Auditoria EPE Ourinhos</w:t>
      </w:r>
    </w:p>
    <w:p>
      <w:pPr>
        <w:pStyle w:val="Heading1"/>
        <w:keepNext/>
      </w:pPr>
      <w:r>
        <w:rPr>
          <w:rFonts w:ascii="Times New Roman" w:cs="Times New Roman" w:eastAsia="Times New Roman" w:hAnsi="Times New Roman"/>
        </w:rPr>
        <w:t xml:space="preserve">Arquivos recebidos e status de leitura</w:t>
      </w:r>
    </w:p>
    <w:p>
      <w:pPr>
        <w:spacing w:after="120" w:line="360"/>
        <w:jc w:val="both"/>
      </w:pPr>
      <w:r>
        <w:rPr>
          <w:rFonts w:ascii="Times New Roman" w:cs="Times New Roman" w:eastAsia="Times New Roman" w:hAnsi="Times New Roman"/>
          <w:b w:val="false"/>
          <w:bCs w:val="false"/>
          <w:i w:val="false"/>
          <w:iCs w:val="false"/>
        </w:rPr>
        <w:t xml:space="preserve">Fonte principal: pasta "Chavantes 84 alqueires" no Google Drive. "Pág. PDF/e-SAJ" = número "fls. N" impresso pelo e-SAJ; "física" = carimbo manuscrito do 3º Ofício.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5"/>
        <w:gridCol w:w="2591"/>
        <w:gridCol w:w="950"/>
        <w:gridCol w:w="2591"/>
        <w:gridCol w:w="2594"/>
      </w:tblGrid>
      <w:tr>
        <w:trPr>
          <w:cantSplit/>
          <w:tblHeader/>
        </w:trPr>
        <w:tc>
          <w:tcPr>
            <w:tcW w:type="dxa" w:w="34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w:t>
            </w:r>
          </w:p>
        </w:tc>
        <w:tc>
          <w:tcPr>
            <w:tcW w:type="dxa" w:w="259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Arquivo</w:t>
            </w:r>
          </w:p>
        </w:tc>
        <w:tc>
          <w:tcPr>
            <w:tcW w:type="dxa" w:w="9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Páginas</w:t>
            </w:r>
          </w:p>
        </w:tc>
        <w:tc>
          <w:tcPr>
            <w:tcW w:type="dxa" w:w="259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Lidas</w:t>
            </w:r>
          </w:p>
        </w:tc>
        <w:tc>
          <w:tcPr>
            <w:tcW w:type="dxa" w:w="259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Observação</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DEF O 4.8 84.27 ALQUEIRES CHAV - PETICIONADA jm.txt (decisão agravada, petição do executado, agravo, parecer Fred)</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1.593 linhas</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27 a 55.pdf (inicial, cédula, cite-se, mandado)</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29</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29 (imagem)</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27 a 55 e-SAJ</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55 a 173 citacao ate calculo da contadoria.pdf</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119</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3 de 119</w:t>
            </w:r>
            <w:r>
              <w:rPr>
                <w:rFonts w:ascii="Times New Roman" w:cs="Times New Roman" w:eastAsia="Times New Roman" w:hAnsi="Times New Roman"/>
                <w:b w:val="false"/>
                <w:bCs w:val="false"/>
                <w:i w:val="false"/>
                <w:iCs w:val="false"/>
                <w:sz w:val="19"/>
                <w:szCs w:val="19"/>
              </w:rPr>
              <w:t xml:space="preserve"> (fls. 67, 120, 122 e-SAJ)</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leitura interrompida pelo limite de uso; ver "não verificado"</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52 a 54.pdf + pagina 52 mostrando 20% manuscrito.png</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 + 1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 com ampliação a 800 dpi</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165 a 168 calculo da contadoria 1995.pdf</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 (fls. 165 e 168)</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174 175 178 179 impugnacao dos calculo remessa contadoria.pdf</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177 2a vez 20% honorarios Banespa.pdf</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8</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Conta da Contadoria fls. 179 a 183 e-SAJ (dois arquivos, um deles rotulado "pag 771-786")</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o arquivo "pag 771-786" contém as fls. 179/183, não 771/786</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9</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202 resposta banespa perg juiz.pdf</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203-204 homologação + certidão + pag 152 e verso</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537 a 543 1a cessao + pag 1670-1675 CESSAO</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 + 6</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mesmo documento em duas cópias</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12</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786 a 790.pdf (decisão 16/05/2012)</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1930 a 1933.pdf (na verdade fls. 1931/1934)</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14</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1943 a 1950.pdf (fls. 1944/1951) e pag 1944-1950</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8</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8</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1536-1538 juros 1 aa (fls. 1537/1539)</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-1057 proc devedor pede contadoria; transito e julgado 13082010 (= fls. 2572)</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 + 1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305 a 315 pag 3038 a 3044 rejeicao (decisão 08/05/2025) + 3037,3040-3042</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 + 4</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18</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3064 a 3066 juiz determina metodo calculo</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DJSP 09/05/2025 partes 1 e 2</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Embargos à Execução 0015252 (dois PDFs)</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 + 2</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só extratos de andamento; sem sentença/acórdão</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Planilhas 2007-2025 (11 arquivos)</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22</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pag 5a 8 rejeição da exceção (= acórdão AI 2236642, fls. 3345/3348) + TJ-SP AI 2236642</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 + 7</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23</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2236655-84.2022</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sem certidão de trânsito</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24</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54 a 63 acórdão AI 2353386 (fls. 3394/3403)</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acórdão truncado; falta a última página do voto</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25</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0000001-82.1987.8.26 - 5 - 3341 a 3440.pdf e -2 pag 3341 ate 3459.pdf</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100 + 19</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 (texto)</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26</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98 megas.txt (texto extraído dos autos)</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2.996 páginas marcadas</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busca integral; folhas &lt; 1290 sem texto</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usado só nas folhas conferidas por imagem</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27</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2186351-42.2026 consulta TJSP (26/09) + PUBLICACAO 04082026</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 + 1</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todas</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28</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Jurisprudência: EDcl e EREsp 1.229.406/SP; REsp 148.938/RJ; AgInt AREsp 2.500.976/PR; AgInt REsp 2.127.021/DF; REsp 2.018.575/PR; EDcl REsp 2.178.097/RS; REsp 1.655.655/SP; AREsp 2.569.822/DF (3 arquivos); REsp 1.795.982/SP; EAREsp 600.811/SP; REsp 1.061.530/RS + Súmula 381; AREsp 43.936/RJ; AgInt EDcl AREsp 1.122.847/SP; REsp 1.984.424/SP (+ notícia + certidão); REsp 1.861.550/DF; REsp 1.256.633/RS; REsp 256.832/CE; AgInt AREsp 2.019.623/SP; AgInt REsp 1.476.534/CE; Súmulas 93, 596, 254, 121; DL 413/69; TJSP AI 2123223-58.2020; AI 2250267-55.2023; AI 2401202-39.2025; AI 2065526-45.2021 (Registro 2021.0000902160)</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integrais, salvo: REsp 1.795.982 (lidas 1-10, 76-78, 89-91 de 126), EAREsp 600.811 (1-17 e 60-63 de 63), REsp 1.061.530 (1-9, 35-37, 87-88, 97-98 de 98), Súmula 93 (1-8 de 38)</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4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29</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AgInt no AREsp 1539138 SP" (ID 10snRaqX9…)</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25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259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arquivo errado: contém as fls. 786/790 dos autos</w:t>
            </w:r>
            <w:r>
              <w:rPr>
                <w:rFonts w:ascii="Times New Roman" w:cs="Times New Roman" w:eastAsia="Times New Roman" w:hAnsi="Times New Roman"/>
                <w:b w:val="false"/>
                <w:bCs w:val="false"/>
                <w:i w:val="false"/>
                <w:iCs w:val="false"/>
                <w:sz w:val="19"/>
                <w:szCs w:val="19"/>
              </w:rPr>
              <w:t xml:space="preserve">. O ARE 1.539.138 do STF (Cármen Lúcia, PROCON x Raia Drogasil) é homônimo e irrelevante</w:t>
            </w:r>
          </w:p>
        </w:tc>
      </w:tr>
    </w:tbl>
    <w:p>
      <w:pPr>
        <w:spacing w:after="120"/>
      </w:pPr>
    </w:p>
    <w:p>
      <w:pPr>
        <w:spacing w:after="40" w:line="276"/>
        <w:jc w:val="center"/>
      </w:pPr>
      <w:r>
        <w:rPr>
          <w:rFonts w:ascii="Times New Roman" w:cs="Times New Roman" w:eastAsia="Times New Roman" w:hAnsi="Times New Roman"/>
          <w:b/>
          <w:bCs/>
          <w:i w:val="false"/>
          <w:iCs w:val="false"/>
        </w:rPr>
        <w:t xml:space="preserve">Não abertos</w:t>
      </w:r>
      <w:r>
        <w:rPr>
          <w:rFonts w:ascii="Times New Roman" w:cs="Times New Roman" w:eastAsia="Times New Roman" w:hAnsi="Times New Roman"/>
          <w:b w:val="false"/>
          <w:bCs w:val="false"/>
          <w:i w:val="false"/>
          <w:iCs w:val="false"/>
        </w:rPr>
        <w:t xml:space="preserve"> (tamanho acima do limite do conector): 98 megas.pdf; pag 1 A 204 (8 MB); 2 - 901 a 1800 (33 MB); 3 - 1801 a 2700 (57 MB); 4 - 2701 a 3341 (25 MB); 305 a 315 Resposta (20 MB; conteúdo obtido pelo .txt).</w:t>
      </w:r>
    </w:p>
    <w:p>
      <w:pPr>
        <w:pStyle w:val="Heading1"/>
        <w:keepNext/>
      </w:pPr>
      <w:r>
        <w:rPr>
          <w:rFonts w:ascii="Times New Roman" w:cs="Times New Roman" w:eastAsia="Times New Roman" w:hAnsi="Times New Roman"/>
        </w:rPr>
        <w:t xml:space="preserve">PRIMEIRO PASSO — documentos que ainda faltam</w:t>
      </w:r>
    </w:p>
    <w:p>
      <w:pPr>
        <w:spacing w:after="120" w:line="360"/>
        <w:jc w:val="both"/>
      </w:pPr>
      <w:r>
        <w:rPr>
          <w:rFonts w:ascii="Times New Roman" w:cs="Times New Roman" w:eastAsia="Times New Roman" w:hAnsi="Times New Roman"/>
          <w:b w:val="false"/>
          <w:bCs w:val="false"/>
          <w:i w:val="false"/>
          <w:iCs w:val="false"/>
        </w:rPr>
        <w:t xml:space="preserve">Os itens abaixo </w:t>
      </w:r>
      <w:r>
        <w:rPr>
          <w:rFonts w:ascii="Times New Roman" w:cs="Times New Roman" w:eastAsia="Times New Roman" w:hAnsi="Times New Roman"/>
          <w:b/>
          <w:bCs/>
          <w:i w:val="false"/>
          <w:iCs w:val="false"/>
        </w:rPr>
        <w:t xml:space="preserve">não estão no Drive</w:t>
      </w:r>
      <w:r>
        <w:rPr>
          <w:rFonts w:ascii="Times New Roman" w:cs="Times New Roman" w:eastAsia="Times New Roman" w:hAnsi="Times New Roman"/>
          <w:b w:val="false"/>
          <w:bCs w:val="false"/>
          <w:i w:val="false"/>
          <w:iCs w:val="false"/>
        </w:rPr>
        <w:t xml:space="preserve"> (busca por título e por texto). Peço em dois grupos.</w:t>
      </w:r>
    </w:p>
    <w:p>
      <w:pPr>
        <w:spacing w:after="40" w:line="276"/>
        <w:jc w:val="center"/>
      </w:pPr>
      <w:r>
        <w:rPr>
          <w:rFonts w:ascii="Times New Roman" w:cs="Times New Roman" w:eastAsia="Times New Roman" w:hAnsi="Times New Roman"/>
          <w:b/>
          <w:bCs/>
          <w:i w:val="false"/>
          <w:iCs w:val="false"/>
        </w:rPr>
        <w:t xml:space="preserve">Grupo 1 — peças dos autos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14"/>
        <w:gridCol w:w="3860"/>
        <w:gridCol w:w="836"/>
        <w:gridCol w:w="3861"/>
      </w:tblGrid>
      <w:tr>
        <w:trPr>
          <w:cantSplit/>
          <w:tblHeader/>
        </w:trPr>
        <w:tc>
          <w:tcPr>
            <w:tcW w:type="dxa" w:w="51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w:t>
            </w:r>
          </w:p>
        </w:tc>
        <w:tc>
          <w:tcPr>
            <w:tcW w:type="dxa" w:w="386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Documento</w:t>
            </w:r>
          </w:p>
        </w:tc>
        <w:tc>
          <w:tcPr>
            <w:tcW w:type="dxa" w:w="83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Bloco afetado</w:t>
            </w:r>
          </w:p>
        </w:tc>
        <w:tc>
          <w:tcPr>
            <w:tcW w:type="dxa" w:w="386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Onde deve estar</w:t>
            </w:r>
          </w:p>
        </w:tc>
      </w:tr>
      <w:tr>
        <w:trPr>
          <w:cantSplit/>
          <w:tblHeader w:val="false"/>
        </w:trP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Contraminuta</w:t>
            </w:r>
            <w:r>
              <w:rPr>
                <w:rFonts w:ascii="Times New Roman" w:cs="Times New Roman" w:eastAsia="Times New Roman" w:hAnsi="Times New Roman"/>
                <w:b w:val="false"/>
                <w:bCs w:val="false"/>
                <w:i w:val="false"/>
                <w:iCs w:val="false"/>
                <w:sz w:val="19"/>
                <w:szCs w:val="19"/>
              </w:rPr>
              <w:t xml:space="preserve"> do executado (WPRO.26.01280402-4, 24/08/2026)</w:t>
            </w:r>
          </w:p>
        </w:tc>
        <w:tc>
          <w:tcPr>
            <w:tcW w:type="dxa" w:w="83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G3, D2</w:t>
            </w:r>
          </w:p>
        </w:tc>
        <w:tc>
          <w:tcPr>
            <w:tcW w:type="dxa" w:w="38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e-SAJ 2º grau</w:t>
            </w:r>
          </w:p>
        </w:tc>
      </w:tr>
      <w:tr>
        <w:trPr>
          <w:cantSplit/>
          <w:tblHeader w:val="false"/>
        </w:trP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Sentença (03/05/1991) e acórdão dos Embargos à Execução 0015252-76.2006</w:t>
            </w:r>
            <w:r>
              <w:rPr>
                <w:rFonts w:ascii="Times New Roman" w:cs="Times New Roman" w:eastAsia="Times New Roman" w:hAnsi="Times New Roman"/>
                <w:b w:val="false"/>
                <w:bCs w:val="false"/>
                <w:i w:val="false"/>
                <w:iCs w:val="false"/>
                <w:sz w:val="19"/>
                <w:szCs w:val="19"/>
              </w:rPr>
              <w:t xml:space="preserve"> — cópias autenticadas juntadas pelo Santander em 12/09/2007 (petição fls. 2137/2139 e-SAJ = CP 600/602)</w:t>
            </w:r>
          </w:p>
        </w:tc>
        <w:tc>
          <w:tcPr>
            <w:tcW w:type="dxa" w:w="83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B2, B3, H5</w:t>
            </w:r>
          </w:p>
        </w:tc>
        <w:tc>
          <w:tcPr>
            <w:tcW w:type="dxa" w:w="38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provavelmente </w:t>
            </w:r>
            <w:r>
              <w:rPr>
                <w:rFonts w:ascii="Times New Roman" w:cs="Times New Roman" w:eastAsia="Times New Roman" w:hAnsi="Times New Roman"/>
                <w:b/>
                <w:bCs/>
                <w:i w:val="false"/>
                <w:iCs w:val="false"/>
                <w:sz w:val="19"/>
                <w:szCs w:val="19"/>
              </w:rPr>
              <w:t xml:space="preserve">fls. 2140 a 2160 e-SAJ</w:t>
            </w:r>
            <w:r>
              <w:rPr>
                <w:rFonts w:ascii="Times New Roman" w:cs="Times New Roman" w:eastAsia="Times New Roman" w:hAnsi="Times New Roman"/>
                <w:b w:val="false"/>
                <w:bCs w:val="false"/>
                <w:i w:val="false"/>
                <w:iCs w:val="false"/>
                <w:sz w:val="19"/>
                <w:szCs w:val="19"/>
              </w:rPr>
              <w:t xml:space="preserve"> (CP 604/624), dentro do "3 - 1801 a 2700"</w:t>
            </w:r>
          </w:p>
        </w:tc>
      </w:tr>
      <w:tr>
        <w:trPr>
          <w:cantSplit/>
          <w:tblHeader w:val="false"/>
        </w:trP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fls. 32 a 47 e 85 dos autos digitalizados dos Embargos</w:t>
            </w:r>
            <w:r>
              <w:rPr>
                <w:rFonts w:ascii="Times New Roman" w:cs="Times New Roman" w:eastAsia="Times New Roman" w:hAnsi="Times New Roman"/>
                <w:b w:val="false"/>
                <w:bCs w:val="false"/>
                <w:i w:val="false"/>
                <w:iCs w:val="false"/>
                <w:sz w:val="19"/>
                <w:szCs w:val="19"/>
              </w:rPr>
              <w:t xml:space="preserve"> (sentença e trânsito, conforme fls. 1483 e-SAJ)</w:t>
            </w:r>
          </w:p>
        </w:tc>
        <w:tc>
          <w:tcPr>
            <w:tcW w:type="dxa" w:w="83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B2, B3</w:t>
            </w:r>
          </w:p>
        </w:tc>
        <w:tc>
          <w:tcPr>
            <w:tcW w:type="dxa" w:w="38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autos 0015252 digitalizados em 31/01/2024</w:t>
            </w:r>
          </w:p>
        </w:tc>
      </w:tr>
      <w:tr>
        <w:trPr>
          <w:cantSplit/>
          <w:tblHeader w:val="false"/>
        </w:trP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w:t>
            </w:r>
            <w:r>
              <w:rPr>
                <w:rFonts w:ascii="Times New Roman" w:cs="Times New Roman" w:eastAsia="Times New Roman" w:hAnsi="Times New Roman"/>
                <w:b/>
                <w:bCs/>
                <w:i w:val="false"/>
                <w:iCs w:val="false"/>
                <w:sz w:val="19"/>
                <w:szCs w:val="19"/>
              </w:rPr>
              <w:t xml:space="preserve">651</w:t>
            </w:r>
            <w:r>
              <w:rPr>
                <w:rFonts w:ascii="Times New Roman" w:cs="Times New Roman" w:eastAsia="Times New Roman" w:hAnsi="Times New Roman"/>
                <w:b w:val="false"/>
                <w:bCs w:val="false"/>
                <w:i w:val="false"/>
                <w:iCs w:val="false"/>
                <w:sz w:val="19"/>
                <w:szCs w:val="19"/>
              </w:rPr>
              <w:t xml:space="preserve"> e-SAJ (planilha R$ 1.140.030,51 de dez/2011) e fls. </w:t>
            </w:r>
            <w:r>
              <w:rPr>
                <w:rFonts w:ascii="Times New Roman" w:cs="Times New Roman" w:eastAsia="Times New Roman" w:hAnsi="Times New Roman"/>
                <w:b/>
                <w:bCs/>
                <w:i w:val="false"/>
                <w:iCs w:val="false"/>
                <w:sz w:val="19"/>
                <w:szCs w:val="19"/>
              </w:rPr>
              <w:t xml:space="preserve">655/673</w:t>
            </w:r>
            <w:r>
              <w:rPr>
                <w:rFonts w:ascii="Times New Roman" w:cs="Times New Roman" w:eastAsia="Times New Roman" w:hAnsi="Times New Roman"/>
                <w:b w:val="false"/>
                <w:bCs w:val="false"/>
                <w:i w:val="false"/>
                <w:iCs w:val="false"/>
                <w:sz w:val="19"/>
                <w:szCs w:val="19"/>
              </w:rPr>
              <w:t xml:space="preserve"> (petição de substituição)</w:t>
            </w:r>
          </w:p>
        </w:tc>
        <w:tc>
          <w:tcPr>
            <w:tcW w:type="dxa" w:w="83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C5, H3</w:t>
            </w:r>
          </w:p>
        </w:tc>
        <w:tc>
          <w:tcPr>
            <w:tcW w:type="dxa" w:w="38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"2 - 901 a 1800"? (fls. 651 está antes de 901: no "1 A 204"? não; falta um arquivo com fls. 205 a 900)</w:t>
            </w:r>
          </w:p>
        </w:tc>
      </w:tr>
      <w:tr>
        <w:trPr>
          <w:cantSplit/>
          <w:tblHeader w:val="false"/>
        </w:trP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w:t>
            </w:r>
            <w:r>
              <w:rPr>
                <w:rFonts w:ascii="Times New Roman" w:cs="Times New Roman" w:eastAsia="Times New Roman" w:hAnsi="Times New Roman"/>
                <w:b/>
                <w:bCs/>
                <w:i w:val="false"/>
                <w:iCs w:val="false"/>
                <w:sz w:val="19"/>
                <w:szCs w:val="19"/>
              </w:rPr>
              <w:t xml:space="preserve">771 a 785</w:t>
            </w:r>
            <w:r>
              <w:rPr>
                <w:rFonts w:ascii="Times New Roman" w:cs="Times New Roman" w:eastAsia="Times New Roman" w:hAnsi="Times New Roman"/>
                <w:b w:val="false"/>
                <w:bCs w:val="false"/>
                <w:i w:val="false"/>
                <w:iCs w:val="false"/>
                <w:sz w:val="19"/>
                <w:szCs w:val="19"/>
              </w:rPr>
              <w:t xml:space="preserve"> e-SAJ (o arquivo com esse nome traz outras folhas)</w:t>
            </w:r>
          </w:p>
        </w:tc>
        <w:tc>
          <w:tcPr>
            <w:tcW w:type="dxa" w:w="83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H4</w:t>
            </w:r>
          </w:p>
        </w:tc>
        <w:tc>
          <w:tcPr>
            <w:tcW w:type="dxa" w:w="38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idem</w:t>
            </w:r>
          </w:p>
        </w:tc>
      </w:tr>
      <w:tr>
        <w:trPr>
          <w:cantSplit/>
          <w:tblHeader w:val="false"/>
        </w:trP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w:t>
            </w:r>
            <w:r>
              <w:rPr>
                <w:rFonts w:ascii="Times New Roman" w:cs="Times New Roman" w:eastAsia="Times New Roman" w:hAnsi="Times New Roman"/>
                <w:b/>
                <w:bCs/>
                <w:i w:val="false"/>
                <w:iCs w:val="false"/>
                <w:sz w:val="19"/>
                <w:szCs w:val="19"/>
              </w:rPr>
              <w:t xml:space="preserve">1500 a 1505</w:t>
            </w:r>
            <w:r>
              <w:rPr>
                <w:rFonts w:ascii="Times New Roman" w:cs="Times New Roman" w:eastAsia="Times New Roman" w:hAnsi="Times New Roman"/>
                <w:b w:val="false"/>
                <w:bCs w:val="false"/>
                <w:i w:val="false"/>
                <w:iCs w:val="false"/>
                <w:sz w:val="19"/>
                <w:szCs w:val="19"/>
              </w:rPr>
              <w:t xml:space="preserve"> (exceção, imagem) e </w:t>
            </w:r>
            <w:r>
              <w:rPr>
                <w:rFonts w:ascii="Times New Roman" w:cs="Times New Roman" w:eastAsia="Times New Roman" w:hAnsi="Times New Roman"/>
                <w:b/>
                <w:bCs/>
                <w:i w:val="false"/>
                <w:iCs w:val="false"/>
                <w:sz w:val="19"/>
                <w:szCs w:val="19"/>
              </w:rPr>
              <w:t xml:space="preserve">387/394 da Carta Precatória</w:t>
            </w:r>
            <w:r>
              <w:rPr>
                <w:rFonts w:ascii="Times New Roman" w:cs="Times New Roman" w:eastAsia="Times New Roman" w:hAnsi="Times New Roman"/>
                <w:b w:val="false"/>
                <w:bCs w:val="false"/>
                <w:i w:val="false"/>
                <w:iCs w:val="false"/>
                <w:sz w:val="19"/>
                <w:szCs w:val="19"/>
              </w:rPr>
              <w:t xml:space="preserve"> (AREsp não conhecido)</w:t>
            </w:r>
          </w:p>
        </w:tc>
        <w:tc>
          <w:tcPr>
            <w:tcW w:type="dxa" w:w="83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A5, H2</w:t>
            </w:r>
          </w:p>
        </w:tc>
        <w:tc>
          <w:tcPr>
            <w:tcW w:type="dxa" w:w="38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"2 - 901 a 1800"</w:t>
            </w:r>
          </w:p>
        </w:tc>
      </w:tr>
      <w:tr>
        <w:trPr>
          <w:cantSplit/>
          <w:tblHeader w:val="false"/>
        </w:trP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Última página do acórdão do </w:t>
            </w:r>
            <w:r>
              <w:rPr>
                <w:rFonts w:ascii="Times New Roman" w:cs="Times New Roman" w:eastAsia="Times New Roman" w:hAnsi="Times New Roman"/>
                <w:b/>
                <w:bCs/>
                <w:i w:val="false"/>
                <w:iCs w:val="false"/>
                <w:sz w:val="19"/>
                <w:szCs w:val="19"/>
              </w:rPr>
              <w:t xml:space="preserve">AI 2353386</w:t>
            </w:r>
            <w:r>
              <w:rPr>
                <w:rFonts w:ascii="Times New Roman" w:cs="Times New Roman" w:eastAsia="Times New Roman" w:hAnsi="Times New Roman"/>
                <w:b w:val="false"/>
                <w:bCs w:val="false"/>
                <w:i w:val="false"/>
                <w:iCs w:val="false"/>
                <w:sz w:val="19"/>
                <w:szCs w:val="19"/>
              </w:rPr>
              <w:t xml:space="preserve"> (fls. 3404 e-SAJ)</w:t>
            </w:r>
          </w:p>
        </w:tc>
        <w:tc>
          <w:tcPr>
            <w:tcW w:type="dxa" w:w="83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E1</w:t>
            </w:r>
          </w:p>
        </w:tc>
        <w:tc>
          <w:tcPr>
            <w:tcW w:type="dxa" w:w="38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"5 - 3341 a 3440" já tem; basta extrair</w:t>
            </w:r>
          </w:p>
        </w:tc>
      </w:tr>
      <w:tr>
        <w:trPr>
          <w:cantSplit/>
          <w:tblHeader w:val="false"/>
        </w:trP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8</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Apelação </w:t>
            </w:r>
            <w:r>
              <w:rPr>
                <w:rFonts w:ascii="Times New Roman" w:cs="Times New Roman" w:eastAsia="Times New Roman" w:hAnsi="Times New Roman"/>
                <w:b/>
                <w:bCs/>
                <w:i w:val="false"/>
                <w:iCs w:val="false"/>
                <w:sz w:val="19"/>
                <w:szCs w:val="19"/>
              </w:rPr>
              <w:t xml:space="preserve">0017993-79.2012.8.26.0408</w:t>
            </w:r>
            <w:r>
              <w:rPr>
                <w:rFonts w:ascii="Times New Roman" w:cs="Times New Roman" w:eastAsia="Times New Roman" w:hAnsi="Times New Roman"/>
                <w:b w:val="false"/>
                <w:bCs w:val="false"/>
                <w:i w:val="false"/>
                <w:iCs w:val="false"/>
                <w:sz w:val="19"/>
                <w:szCs w:val="19"/>
              </w:rPr>
              <w:t xml:space="preserve"> (embargos de terceiro)</w:t>
            </w:r>
          </w:p>
        </w:tc>
        <w:tc>
          <w:tcPr>
            <w:tcW w:type="dxa" w:w="83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E2</w:t>
            </w:r>
          </w:p>
        </w:tc>
        <w:tc>
          <w:tcPr>
            <w:tcW w:type="dxa" w:w="38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e-SAJ 2º grau</w:t>
            </w:r>
          </w:p>
        </w:tc>
      </w:tr>
      <w:tr>
        <w:trPr>
          <w:cantSplit/>
          <w:tblHeader w:val="false"/>
        </w:trPr>
        <w:tc>
          <w:tcPr>
            <w:tcW w:type="dxa" w:w="5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9</w:t>
            </w:r>
          </w:p>
        </w:tc>
        <w:tc>
          <w:tcPr>
            <w:tcW w:type="dxa" w:w="38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Restante de </w:t>
            </w:r>
            <w:r>
              <w:rPr>
                <w:rFonts w:ascii="Times New Roman" w:cs="Times New Roman" w:eastAsia="Times New Roman" w:hAnsi="Times New Roman"/>
                <w:b/>
                <w:bCs/>
                <w:i w:val="false"/>
                <w:iCs w:val="false"/>
                <w:sz w:val="19"/>
                <w:szCs w:val="19"/>
              </w:rPr>
              <w:t xml:space="preserve">pag 55 a 173</w:t>
            </w:r>
            <w:r>
              <w:rPr>
                <w:rFonts w:ascii="Times New Roman" w:cs="Times New Roman" w:eastAsia="Times New Roman" w:hAnsi="Times New Roman"/>
                <w:b w:val="false"/>
                <w:bCs w:val="false"/>
                <w:i w:val="false"/>
                <w:iCs w:val="false"/>
                <w:sz w:val="19"/>
                <w:szCs w:val="19"/>
              </w:rPr>
              <w:t xml:space="preserve"> (li 3 de 119 páginas)</w:t>
            </w:r>
          </w:p>
        </w:tc>
        <w:tc>
          <w:tcPr>
            <w:tcW w:type="dxa" w:w="83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B2, B6</w:t>
            </w:r>
          </w:p>
        </w:tc>
        <w:tc>
          <w:tcPr>
            <w:tcW w:type="dxa" w:w="38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já no Drive; preciso de tempo de leitura, não de upload</w:t>
            </w:r>
          </w:p>
        </w:tc>
      </w:tr>
    </w:tbl>
    <w:p>
      <w:pPr>
        <w:spacing w:after="120"/>
      </w:pPr>
    </w:p>
    <w:p>
      <w:pPr>
        <w:spacing w:after="40" w:line="276"/>
        <w:jc w:val="center"/>
      </w:pPr>
      <w:r>
        <w:rPr>
          <w:rFonts w:ascii="Times New Roman" w:cs="Times New Roman" w:eastAsia="Times New Roman" w:hAnsi="Times New Roman"/>
          <w:b/>
          <w:bCs/>
          <w:i w:val="false"/>
          <w:iCs w:val="false"/>
        </w:rPr>
        <w:t xml:space="preserve">Grupo 2 — jurisprudência e normas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54"/>
        <w:gridCol w:w="7161"/>
        <w:gridCol w:w="956"/>
      </w:tblGrid>
      <w:tr>
        <w:trPr>
          <w:cantSplit/>
          <w:tblHeader/>
        </w:trPr>
        <w:tc>
          <w:tcPr>
            <w:tcW w:type="dxa" w:w="95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w:t>
            </w:r>
          </w:p>
        </w:tc>
        <w:tc>
          <w:tcPr>
            <w:tcW w:type="dxa" w:w="716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Documento</w:t>
            </w:r>
          </w:p>
        </w:tc>
        <w:tc>
          <w:tcPr>
            <w:tcW w:type="dxa" w:w="95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Bloco</w:t>
            </w:r>
          </w:p>
        </w:tc>
      </w:tr>
      <w:tr>
        <w:trPr>
          <w:cantSplit/>
          <w:tblHeader w:val="false"/>
        </w:trPr>
        <w:tc>
          <w:tcPr>
            <w:tcW w:type="dxa" w:w="9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w:t>
            </w:r>
          </w:p>
        </w:tc>
        <w:tc>
          <w:tcPr>
            <w:tcW w:type="dxa" w:w="71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AgInt no AgInt no </w:t>
            </w:r>
            <w:r>
              <w:rPr>
                <w:rFonts w:ascii="Times New Roman" w:cs="Times New Roman" w:eastAsia="Times New Roman" w:hAnsi="Times New Roman"/>
                <w:b/>
                <w:bCs/>
                <w:i w:val="false"/>
                <w:iCs w:val="false"/>
                <w:sz w:val="19"/>
                <w:szCs w:val="19"/>
              </w:rPr>
              <w:t xml:space="preserve">AREsp 1.539.138/SP</w:t>
            </w:r>
            <w:r>
              <w:rPr>
                <w:rFonts w:ascii="Times New Roman" w:cs="Times New Roman" w:eastAsia="Times New Roman" w:hAnsi="Times New Roman"/>
                <w:b w:val="false"/>
                <w:bCs w:val="false"/>
                <w:i w:val="false"/>
                <w:iCs w:val="false"/>
                <w:sz w:val="19"/>
                <w:szCs w:val="19"/>
              </w:rPr>
              <w:t xml:space="preserve"> (o arquivo do Drive está trocado)</w:t>
            </w:r>
          </w:p>
        </w:tc>
        <w:tc>
          <w:tcPr>
            <w:tcW w:type="dxa" w:w="9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A6</w:t>
            </w:r>
          </w:p>
        </w:tc>
      </w:tr>
      <w:tr>
        <w:trPr>
          <w:cantSplit/>
          <w:tblHeader w:val="false"/>
        </w:trPr>
        <w:tc>
          <w:tcPr>
            <w:tcW w:type="dxa" w:w="9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11</w:t>
            </w:r>
          </w:p>
        </w:tc>
        <w:tc>
          <w:tcPr>
            <w:tcW w:type="dxa" w:w="71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AgInt no REsp </w:t>
            </w:r>
            <w:r>
              <w:rPr>
                <w:rFonts w:ascii="Times New Roman" w:cs="Times New Roman" w:eastAsia="Times New Roman" w:hAnsi="Times New Roman"/>
                <w:b/>
                <w:bCs/>
                <w:i w:val="false"/>
                <w:iCs w:val="false"/>
                <w:sz w:val="19"/>
                <w:szCs w:val="19"/>
              </w:rPr>
              <w:t xml:space="preserve">1.455.741/DF</w:t>
            </w:r>
          </w:p>
        </w:tc>
        <w:tc>
          <w:tcPr>
            <w:tcW w:type="dxa" w:w="9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A6</w:t>
            </w:r>
          </w:p>
        </w:tc>
      </w:tr>
      <w:tr>
        <w:trPr>
          <w:cantSplit/>
          <w:tblHeader w:val="false"/>
        </w:trPr>
        <w:tc>
          <w:tcPr>
            <w:tcW w:type="dxa" w:w="9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12</w:t>
            </w:r>
          </w:p>
        </w:tc>
        <w:tc>
          <w:tcPr>
            <w:tcW w:type="dxa" w:w="71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AgInt no AREsp </w:t>
            </w:r>
            <w:r>
              <w:rPr>
                <w:rFonts w:ascii="Times New Roman" w:cs="Times New Roman" w:eastAsia="Times New Roman" w:hAnsi="Times New Roman"/>
                <w:b/>
                <w:bCs/>
                <w:i w:val="false"/>
                <w:iCs w:val="false"/>
                <w:sz w:val="19"/>
                <w:szCs w:val="19"/>
              </w:rPr>
              <w:t xml:space="preserve">1.851.737/DF</w:t>
            </w:r>
          </w:p>
        </w:tc>
        <w:tc>
          <w:tcPr>
            <w:tcW w:type="dxa" w:w="9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F1</w:t>
            </w:r>
          </w:p>
        </w:tc>
      </w:tr>
      <w:tr>
        <w:trPr>
          <w:cantSplit/>
          <w:tblHeader w:val="false"/>
        </w:trPr>
        <w:tc>
          <w:tcPr>
            <w:tcW w:type="dxa" w:w="9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w:t>
            </w:r>
          </w:p>
        </w:tc>
        <w:tc>
          <w:tcPr>
            <w:tcW w:type="dxa" w:w="71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w:t>
            </w:r>
            <w:r>
              <w:rPr>
                <w:rFonts w:ascii="Times New Roman" w:cs="Times New Roman" w:eastAsia="Times New Roman" w:hAnsi="Times New Roman"/>
                <w:b/>
                <w:bCs/>
                <w:i w:val="false"/>
                <w:iCs w:val="false"/>
                <w:sz w:val="19"/>
                <w:szCs w:val="19"/>
              </w:rPr>
              <w:t xml:space="preserve">2181564-67.2026.8.26.0000</w:t>
            </w:r>
            <w:r>
              <w:rPr>
                <w:rFonts w:ascii="Times New Roman" w:cs="Times New Roman" w:eastAsia="Times New Roman" w:hAnsi="Times New Roman"/>
                <w:b w:val="false"/>
                <w:bCs w:val="false"/>
                <w:i w:val="false"/>
                <w:iCs w:val="false"/>
                <w:sz w:val="19"/>
                <w:szCs w:val="19"/>
              </w:rPr>
              <w:t xml:space="preserve"> e AI </w:t>
            </w:r>
            <w:r>
              <w:rPr>
                <w:rFonts w:ascii="Times New Roman" w:cs="Times New Roman" w:eastAsia="Times New Roman" w:hAnsi="Times New Roman"/>
                <w:b/>
                <w:bCs/>
                <w:i w:val="false"/>
                <w:iCs w:val="false"/>
                <w:sz w:val="19"/>
                <w:szCs w:val="19"/>
              </w:rPr>
              <w:t xml:space="preserve">2297076-69.2024.8.26.0000</w:t>
            </w:r>
          </w:p>
        </w:tc>
        <w:tc>
          <w:tcPr>
            <w:tcW w:type="dxa" w:w="9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F1</w:t>
            </w:r>
          </w:p>
        </w:tc>
      </w:tr>
      <w:tr>
        <w:trPr>
          <w:cantSplit/>
          <w:tblHeader w:val="false"/>
        </w:trPr>
        <w:tc>
          <w:tcPr>
            <w:tcW w:type="dxa" w:w="9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14</w:t>
            </w:r>
          </w:p>
        </w:tc>
        <w:tc>
          <w:tcPr>
            <w:tcW w:type="dxa" w:w="71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Resolução TJSP </w:t>
            </w:r>
            <w:r>
              <w:rPr>
                <w:rFonts w:ascii="Times New Roman" w:cs="Times New Roman" w:eastAsia="Times New Roman" w:hAnsi="Times New Roman"/>
                <w:b/>
                <w:bCs/>
                <w:i w:val="false"/>
                <w:iCs w:val="false"/>
                <w:sz w:val="19"/>
                <w:szCs w:val="19"/>
              </w:rPr>
              <w:t xml:space="preserve">549/2011</w:t>
            </w:r>
            <w:r>
              <w:rPr>
                <w:rFonts w:ascii="Times New Roman" w:cs="Times New Roman" w:eastAsia="Times New Roman" w:hAnsi="Times New Roman"/>
                <w:b w:val="false"/>
                <w:bCs w:val="false"/>
                <w:i w:val="false"/>
                <w:iCs w:val="false"/>
                <w:sz w:val="19"/>
                <w:szCs w:val="19"/>
              </w:rPr>
              <w:t xml:space="preserve"> e RITJSP (arts. sobre memoriais, sustentação oral, "pela ordem")</w:t>
            </w:r>
          </w:p>
        </w:tc>
        <w:tc>
          <w:tcPr>
            <w:tcW w:type="dxa" w:w="95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G1</w:t>
            </w:r>
          </w:p>
        </w:tc>
      </w:tr>
    </w:tbl>
    <w:p>
      <w:pPr>
        <w:spacing w:after="120"/>
      </w:pPr>
    </w:p>
    <w:p>
      <w:pPr>
        <w:spacing w:after="120" w:line="360"/>
        <w:jc w:val="both"/>
      </w:pPr>
      <w:r>
        <w:rPr>
          <w:rFonts w:ascii="Times New Roman" w:cs="Times New Roman" w:eastAsia="Times New Roman" w:hAnsi="Times New Roman"/>
          <w:b w:val="false"/>
          <w:bCs w:val="false"/>
          <w:i w:val="false"/>
          <w:iCs w:val="false"/>
        </w:rPr>
        <w:t xml:space="preserve">Não tenho todos os documentos. Como você pediu para prosseguir, entrego a auditoria completa com 🟨 onde a fonte falta.</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BLOCO A — PRECLUSÃO DA CONTA HOMOLOGADA EM 1995</w:t>
      </w:r>
    </w:p>
    <w:p>
      <w:pPr>
        <w:pStyle w:val="Heading2"/>
        <w:keepNext/>
      </w:pPr>
      <w:r>
        <w:rPr>
          <w:rFonts w:ascii="Times New Roman" w:cs="Times New Roman" w:eastAsia="Times New Roman" w:hAnsi="Times New Roman"/>
        </w:rPr>
        <w:t xml:space="preserve">A1. O que fls. 203 homologou; reconciliação dos valores</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Conferido por imagem.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015"/>
        <w:gridCol w:w="4061"/>
        <w:gridCol w:w="3995"/>
      </w:tblGrid>
      <w:tr>
        <w:trPr>
          <w:cantSplit/>
          <w:tblHeader/>
        </w:trPr>
        <w:tc>
          <w:tcPr>
            <w:tcW w:type="dxa" w:w="101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Valor</w:t>
            </w:r>
          </w:p>
        </w:tc>
        <w:tc>
          <w:tcPr>
            <w:tcW w:type="dxa" w:w="406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O que é</w:t>
            </w:r>
          </w:p>
        </w:tc>
        <w:tc>
          <w:tcPr>
            <w:tcW w:type="dxa" w:w="399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Fonte (e-SAJ / física)</w:t>
            </w:r>
          </w:p>
        </w:tc>
      </w:tr>
      <w:tr>
        <w:trPr>
          <w:cantSplit/>
          <w:tblHeader w:val="false"/>
        </w:trPr>
        <w:tc>
          <w:tcPr>
            <w:tcW w:type="dxa" w:w="10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R$ 161.057,71</w:t>
            </w:r>
          </w:p>
        </w:tc>
        <w:tc>
          <w:tcPr>
            <w:tcW w:type="dxa" w:w="40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1ª conta da Contadoria, 06/02/1995: "PRINCIPAL ATUALIZADO R$ 26.245,89; TAXA EFETIVA R$ 33.987,58; JUROS 1% ao mês desde 5/87 = 93% R$ 60.233,47; SOMA R$ 120.466,94; MULTA 10% R$ 12.046,69; </w:t>
            </w:r>
            <w:r>
              <w:rPr>
                <w:rFonts w:ascii="Times New Roman" w:cs="Times New Roman" w:eastAsia="Times New Roman" w:hAnsi="Times New Roman"/>
                <w:b/>
                <w:bCs/>
                <w:i w:val="false"/>
                <w:iCs w:val="false"/>
                <w:sz w:val="19"/>
                <w:szCs w:val="19"/>
              </w:rPr>
              <w:t xml:space="preserve">HONORÁRIOS 20%</w:t>
            </w:r>
            <w:r>
              <w:rPr>
                <w:rFonts w:ascii="Times New Roman" w:cs="Times New Roman" w:eastAsia="Times New Roman" w:hAnsi="Times New Roman"/>
                <w:b w:val="false"/>
                <w:bCs w:val="false"/>
                <w:i w:val="false"/>
                <w:iCs w:val="false"/>
                <w:sz w:val="19"/>
                <w:szCs w:val="19"/>
              </w:rPr>
              <w:t xml:space="preserve"> R$ 26.502,72; SOMA R$ 159.016,36; despesas R$ 605,75; custas R$ 1.435,60; TOTAL R$ 161.057,71". Juros </w:t>
            </w:r>
            <w:r>
              <w:rPr>
                <w:rFonts w:ascii="Times New Roman" w:cs="Times New Roman" w:eastAsia="Times New Roman" w:hAnsi="Times New Roman"/>
                <w:b/>
                <w:bCs/>
                <w:i w:val="false"/>
                <w:iCs w:val="false"/>
                <w:sz w:val="19"/>
                <w:szCs w:val="19"/>
              </w:rPr>
              <w:t xml:space="preserve">simples</w:t>
            </w:r>
            <w:r>
              <w:rPr>
                <w:rFonts w:ascii="Times New Roman" w:cs="Times New Roman" w:eastAsia="Times New Roman" w:hAnsi="Times New Roman"/>
                <w:b w:val="false"/>
                <w:bCs w:val="false"/>
                <w:i w:val="false"/>
                <w:iCs w:val="false"/>
                <w:sz w:val="19"/>
                <w:szCs w:val="19"/>
              </w:rPr>
              <w:t xml:space="preserve">.</w:t>
            </w:r>
          </w:p>
        </w:tc>
        <w:tc>
          <w:tcPr>
            <w:tcW w:type="dxa" w:w="399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165 e-SAJ / 122 física</w:t>
            </w:r>
          </w:p>
        </w:tc>
      </w:tr>
      <w:tr>
        <w:trPr>
          <w:cantSplit/>
          <w:tblHeader w:val="false"/>
        </w:trPr>
        <w:tc>
          <w:tcPr>
            <w:tcW w:type="dxa" w:w="10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R$ 4.232.859,19</w:t>
            </w:r>
          </w:p>
        </w:tc>
        <w:tc>
          <w:tcPr>
            <w:tcW w:type="dxa" w:w="40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Cálculo do próprio Banespa ("Assessoria Jurídica – Setor de Cálculos e Perícias, 2/3/95"): saldo devedor R$ 3.206.711,51 em 02/03/95, taxa 57,18%, "MULTA 10,00% R$ 320.671,15; HONORÁRIOS 20,00% R$ 705.476,53; TOTAL R$ 4.232.859,19". Nota: o número do prompt ("4.232.889") está errado; o documento diz </w:t>
            </w:r>
            <w:r>
              <w:rPr>
                <w:rFonts w:ascii="Times New Roman" w:cs="Times New Roman" w:eastAsia="Times New Roman" w:hAnsi="Times New Roman"/>
                <w:b/>
                <w:bCs/>
                <w:i w:val="false"/>
                <w:iCs w:val="false"/>
                <w:sz w:val="19"/>
                <w:szCs w:val="19"/>
              </w:rPr>
              <w:t xml:space="preserve">4.232.859,19</w:t>
            </w:r>
            <w:r>
              <w:rPr>
                <w:rFonts w:ascii="Times New Roman" w:cs="Times New Roman" w:eastAsia="Times New Roman" w:hAnsi="Times New Roman"/>
                <w:b w:val="false"/>
                <w:bCs w:val="false"/>
                <w:i w:val="false"/>
                <w:iCs w:val="false"/>
                <w:sz w:val="19"/>
                <w:szCs w:val="19"/>
              </w:rPr>
              <w:t xml:space="preserve">.</w:t>
            </w:r>
          </w:p>
        </w:tc>
        <w:tc>
          <w:tcPr>
            <w:tcW w:type="dxa" w:w="399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177 e-SAJ / 132 física (carimbo lido "132" em rubrica)</w:t>
            </w:r>
          </w:p>
        </w:tc>
      </w:tr>
      <w:tr>
        <w:trPr>
          <w:cantSplit/>
          <w:tblHeader w:val="false"/>
        </w:trPr>
        <w:tc>
          <w:tcPr>
            <w:tcW w:type="dxa" w:w="10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R$ 5.256.733,85</w:t>
            </w:r>
          </w:p>
        </w:tc>
        <w:tc>
          <w:tcPr>
            <w:tcW w:type="dxa" w:w="40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Saldo devedor da conta retificada da Contadoria em 08/95, sem multa e honorários</w:t>
            </w:r>
          </w:p>
        </w:tc>
        <w:tc>
          <w:tcPr>
            <w:tcW w:type="dxa" w:w="399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180 e 183 e-SAJ / 134 e 137 física</w:t>
            </w:r>
          </w:p>
        </w:tc>
      </w:tr>
      <w:tr>
        <w:trPr>
          <w:cantSplit/>
          <w:tblHeader w:val="false"/>
        </w:trPr>
        <w:tc>
          <w:tcPr>
            <w:tcW w:type="dxa" w:w="10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R$ 6.975.016,65</w:t>
            </w:r>
          </w:p>
        </w:tc>
        <w:tc>
          <w:tcPr>
            <w:tcW w:type="dxa" w:w="406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Total da mesma conta: saldo + multa 10% (R$ 525.673,39) + honorários 20% (R$ 1.156.481,45) + despesas R$ 683,51 + custas R$ 35.444,45</w:t>
            </w:r>
          </w:p>
        </w:tc>
        <w:tc>
          <w:tcPr>
            <w:tcW w:type="dxa" w:w="399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180 e-SAJ / 134 física</w:t>
            </w:r>
          </w:p>
        </w:tc>
      </w:tr>
    </w:tbl>
    <w:p>
      <w:pPr>
        <w:spacing w:after="120"/>
      </w:pPr>
    </w:p>
    <w:p>
      <w:pPr>
        <w:spacing w:after="120" w:line="360"/>
        <w:jc w:val="both"/>
      </w:pPr>
      <w:r>
        <w:rPr>
          <w:rFonts w:ascii="Times New Roman" w:cs="Times New Roman" w:eastAsia="Times New Roman" w:hAnsi="Times New Roman"/>
          <w:b w:val="false"/>
          <w:bCs w:val="false"/>
          <w:i w:val="false"/>
          <w:iCs w:val="false"/>
        </w:rPr>
        <w:t xml:space="preserve">A decisão de fls. 203 e-SAJ / 152 física (23/11/1995) diz: "Homologo, para que produza seus jurídicos efeitos, o laudo de fls. 66/118 e a </w:t>
      </w:r>
      <w:r>
        <w:rPr>
          <w:rFonts w:ascii="Times New Roman" w:cs="Times New Roman" w:eastAsia="Times New Roman" w:hAnsi="Times New Roman"/>
          <w:b/>
          <w:bCs/>
          <w:i w:val="false"/>
          <w:iCs w:val="false"/>
        </w:rPr>
        <w:t xml:space="preserve">conta de liquidação de fls. 134/137</w:t>
      </w:r>
      <w:r>
        <w:rPr>
          <w:rFonts w:ascii="Times New Roman" w:cs="Times New Roman" w:eastAsia="Times New Roman" w:hAnsi="Times New Roman"/>
          <w:b w:val="false"/>
          <w:bCs w:val="false"/>
          <w:i w:val="false"/>
          <w:iCs w:val="false"/>
        </w:rPr>
        <w:t xml:space="preserve">, sobre a qual não se manifestou o exequente." Logo, o que foi homologado foi a conta retificada, </w:t>
      </w:r>
      <w:r>
        <w:rPr>
          <w:rFonts w:ascii="Times New Roman" w:cs="Times New Roman" w:eastAsia="Times New Roman" w:hAnsi="Times New Roman"/>
          <w:b/>
          <w:bCs/>
          <w:i w:val="false"/>
          <w:iCs w:val="false"/>
        </w:rPr>
        <w:t xml:space="preserve">integral</w:t>
      </w:r>
      <w:r>
        <w:rPr>
          <w:rFonts w:ascii="Times New Roman" w:cs="Times New Roman" w:eastAsia="Times New Roman" w:hAnsi="Times New Roman"/>
          <w:b w:val="false"/>
          <w:bCs w:val="false"/>
          <w:i w:val="false"/>
          <w:iCs w:val="false"/>
        </w:rPr>
        <w:t xml:space="preserve"> (R$ 6.975.016,65), da qual o saldo devedor de R$ 5.256.733,85 é a base antes de multa e honorários. A certidão de fls. 204 e-SAJ (física: n/d) atesta: "decorreu o prazo legal, sem manifestação das partes, quanto ao r. despacho retro" (29/12/1995).</w:t>
      </w:r>
    </w:p>
    <w:p>
      <w:pPr>
        <w:spacing w:after="120" w:line="360"/>
        <w:jc w:val="both"/>
      </w:pPr>
      <w:r>
        <w:rPr>
          <w:rFonts w:ascii="Times New Roman" w:cs="Times New Roman" w:eastAsia="Times New Roman" w:hAnsi="Times New Roman"/>
          <w:b w:val="false"/>
          <w:bCs w:val="false"/>
          <w:i w:val="false"/>
          <w:iCs w:val="false"/>
        </w:rPr>
        <w:t xml:space="preserve">Sequência documental: 1ª conta (06/02/1995, juros simples) → impugnação </w:t>
      </w:r>
      <w:r>
        <w:rPr>
          <w:rFonts w:ascii="Times New Roman" w:cs="Times New Roman" w:eastAsia="Times New Roman" w:hAnsi="Times New Roman"/>
          <w:b/>
          <w:bCs/>
          <w:i w:val="false"/>
          <w:iCs w:val="false"/>
        </w:rPr>
        <w:t xml:space="preserve">do Banespa</w:t>
      </w:r>
      <w:r>
        <w:rPr>
          <w:rFonts w:ascii="Times New Roman" w:cs="Times New Roman" w:eastAsia="Times New Roman" w:hAnsi="Times New Roman"/>
          <w:b w:val="false"/>
          <w:bCs w:val="false"/>
          <w:i w:val="false"/>
          <w:iCs w:val="false"/>
        </w:rPr>
        <w:t xml:space="preserve"> (fls. 174/175 e-SAJ / 129/130 física, 03/03/199[4/5], pedindo partir de Cz$ 2.340.293,44, juros de 57,18% a.a., mora 1% a.m., multa 10% e capitalização </w:t>
      </w:r>
      <w:r>
        <w:rPr>
          <w:rFonts w:ascii="Times New Roman" w:cs="Times New Roman" w:eastAsia="Times New Roman" w:hAnsi="Times New Roman"/>
          <w:b/>
          <w:bCs/>
          <w:i w:val="false"/>
          <w:iCs w:val="false"/>
        </w:rPr>
        <w:t xml:space="preserve">semestral</w:t>
      </w:r>
      <w:r>
        <w:rPr>
          <w:rFonts w:ascii="Times New Roman" w:cs="Times New Roman" w:eastAsia="Times New Roman" w:hAnsi="Times New Roman"/>
          <w:b w:val="false"/>
          <w:bCs w:val="false"/>
          <w:i w:val="false"/>
          <w:iCs w:val="false"/>
        </w:rPr>
        <w:t xml:space="preserve">) → despacho de remessa ao contador (fls. 178 e-SAJ / carimbo "133", 23/03/1995) → informação do contador (fls. 179 e-SAJ, 05/10/1995: "os mesmos foram calculados da forma simples, motivo pelo qual retifico") → conta retificada (fls. 180/183) → homologação (fls. 203) → certidão (fls. 204).</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afirmar que a conta homologada é a de fls. 134/137 física (180/183 e-SAJ), no total de R$ 6.975.016,65, cujo saldo devedor de R$ 5.256.733,85 é a única base judicialmente fixada, e que a retificação decorreu de impugnação do exequente Banespa, não do executado, que silenciou. Corrigir o agravo: o Banespa não "impugnou a conta" de forma genérica; pediu </w:t>
      </w:r>
      <w:r>
        <w:rPr>
          <w:rFonts w:ascii="Times New Roman" w:cs="Times New Roman" w:eastAsia="Times New Roman" w:hAnsi="Times New Roman"/>
          <w:b/>
          <w:bCs/>
          <w:i w:val="false"/>
          <w:iCs w:val="false"/>
        </w:rPr>
        <w:t xml:space="preserve">mais</w:t>
      </w:r>
      <w:r>
        <w:rPr>
          <w:rFonts w:ascii="Times New Roman" w:cs="Times New Roman" w:eastAsia="Times New Roman" w:hAnsi="Times New Roman"/>
          <w:b w:val="false"/>
          <w:bCs w:val="false"/>
          <w:i w:val="false"/>
          <w:iCs w:val="false"/>
        </w:rPr>
        <w:t xml:space="preserve"> (capitalização semestral) e recebeu conta com capitalização mensal.</w:t>
      </w:r>
    </w:p>
    <w:p>
      <w:pPr>
        <w:pStyle w:val="Heading2"/>
        <w:keepNext/>
      </w:pPr>
      <w:r>
        <w:rPr>
          <w:rFonts w:ascii="Times New Roman" w:cs="Times New Roman" w:eastAsia="Times New Roman" w:hAnsi="Times New Roman"/>
        </w:rPr>
        <w:t xml:space="preserve">A2. O item 2 de fls. 3064/3066 inovou?</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Sim, e a contradição é literal.</w:t>
      </w:r>
      <w:r>
        <w:rPr>
          <w:rFonts w:ascii="Times New Roman" w:cs="Times New Roman" w:eastAsia="Times New Roman" w:hAnsi="Times New Roman"/>
          <w:b w:val="false"/>
          <w:bCs w:val="false"/>
          <w:i w:val="false"/>
          <w:iCs w:val="false"/>
        </w:rPr>
        <w:t xml:space="preserve"> Fls. 3065 e-SAJ: "Nos presentes embargos, o executado inova matéria não suscitada na exceção de pré-executividade, alegando: • Vício no cálculo de liquidação por inclusão indevida de multa e juros moratórios • Cobrança indevida de honorários sucumbenciais não incluídos na cessão. Tais questões não foram objeto da exceção (…) As alegações ora deduzidas constituem matéria nova, não apreciada porque não foi objeto da exceção, sendo imprópria a via eleita para sua discussão." Fls. 3066: "REJEITO os embargos de declaração (…) 2. Não obstante a rejeição dos embargos declaratórios (…) DETERMINO ao exequente que (…) apresente novo cálculo (…) a) atualização monetária exclusivamente do valor principal desde (…) maio/1987 (…) A metodologia apresentada às fls. 3055 não pode subsistir, porquanto importa em contagem de juros sobre juros (…) configurando capitalização vedada em lei."</w:t>
      </w:r>
    </w:p>
    <w:p>
      <w:pPr>
        <w:spacing w:after="120" w:line="360"/>
        <w:jc w:val="both"/>
      </w:pPr>
      <w:r>
        <w:rPr>
          <w:rFonts w:ascii="Times New Roman" w:cs="Times New Roman" w:eastAsia="Times New Roman" w:hAnsi="Times New Roman"/>
          <w:b w:val="false"/>
          <w:bCs w:val="false"/>
          <w:i w:val="false"/>
          <w:iCs w:val="false"/>
        </w:rPr>
        <w:t xml:space="preserve">O juiz declarou a matéria "nova" e "imprópria a via", rejeitou os embargos e, no mesmo ato, decidiu-a de ofício contra a parte que </w:t>
      </w:r>
      <w:r>
        <w:rPr>
          <w:rFonts w:ascii="Times New Roman" w:cs="Times New Roman" w:eastAsia="Times New Roman" w:hAnsi="Times New Roman"/>
          <w:b/>
          <w:bCs/>
          <w:i w:val="false"/>
          <w:iCs w:val="false"/>
        </w:rPr>
        <w:t xml:space="preserve">vencera</w:t>
      </w:r>
      <w:r>
        <w:rPr>
          <w:rFonts w:ascii="Times New Roman" w:cs="Times New Roman" w:eastAsia="Times New Roman" w:hAnsi="Times New Roman"/>
          <w:b w:val="false"/>
          <w:bCs w:val="false"/>
          <w:i w:val="false"/>
          <w:iCs w:val="false"/>
        </w:rPr>
        <w:t xml:space="preserve"> a exceção. Isso (i) ultrapassa os limites do art. 1.022 do CPC (embargos rejeitados não alteram o julgado); (ii) é decisão-surpresa: os exequentes nunca foram ouvidos sobre "anatocismo" da conta de fls. 3055 (arts. 9º e 10 do CPC); (iii) conhece de ofício de encargos de contrato bancário (Súmula 381/STJ, com a ressalva do item A3).</w:t>
      </w:r>
    </w:p>
    <w:p>
      <w:pPr>
        <w:spacing w:after="120" w:line="360"/>
        <w:jc w:val="both"/>
      </w:pPr>
      <w:r>
        <w:rPr>
          <w:rFonts w:ascii="Times New Roman" w:cs="Times New Roman" w:eastAsia="Times New Roman" w:hAnsi="Times New Roman"/>
          <w:b/>
          <w:bCs/>
          <w:i w:val="false"/>
          <w:iCs w:val="false"/>
        </w:rPr>
        <w:t xml:space="preserve">Risco "despacho ordinatório irrecorrível":</w:t>
      </w:r>
      <w:r>
        <w:rPr>
          <w:rFonts w:ascii="Times New Roman" w:cs="Times New Roman" w:eastAsia="Times New Roman" w:hAnsi="Times New Roman"/>
          <w:b w:val="false"/>
          <w:bCs w:val="false"/>
          <w:i w:val="false"/>
          <w:iCs w:val="false"/>
        </w:rPr>
        <w:t xml:space="preserve"> médio. O item 2 tem conteúdo decisório (fixa metodologia, veda base de cálculo, altera o valor exequendo), portanto é decisão interlocutória agravável (art. 1.015, parágrafo único). Mas o agravo ora julgado </w:t>
      </w:r>
      <w:r>
        <w:rPr>
          <w:rFonts w:ascii="Times New Roman" w:cs="Times New Roman" w:eastAsia="Times New Roman" w:hAnsi="Times New Roman"/>
          <w:b/>
          <w:bCs/>
          <w:i w:val="false"/>
          <w:iCs w:val="false"/>
        </w:rPr>
        <w:t xml:space="preserve">não</w:t>
      </w:r>
      <w:r>
        <w:rPr>
          <w:rFonts w:ascii="Times New Roman" w:cs="Times New Roman" w:eastAsia="Times New Roman" w:hAnsi="Times New Roman"/>
          <w:b w:val="false"/>
          <w:bCs w:val="false"/>
          <w:i w:val="false"/>
          <w:iCs w:val="false"/>
        </w:rPr>
        <w:t xml:space="preserve"> é contra fls. 3066: é contra fls. 3435/3437. Neutralização: (a) sustentar que fls. 3435/3437 tem fundamentos próprios (não conhecimento da petição de 25/03/2026; qualificação de fls. 3077 como "anuência expressa"; premissa fática de "capitalização" na planilha de fls. 3419) e que é decisão nova, não reiterativa; (b) sustentar que o item 2 de fls. 3066, por ter sido proferido em embargos rejeitados sobre matéria que o próprio juiz declarou "nova", é decisão sem contraditório, cuja invalidade (art. 10) pode ser suscitada no primeiro agravo cabível contra ato que a aplica; (c) admitir com franqueza que os exequentes não agravaram de fls. 3066 e explicar por quê: a decisão de 17/07/2025 (fls. 3082/3084) restituiu prazo apenas aos </w:t>
      </w:r>
      <w:r>
        <w:rPr>
          <w:rFonts w:ascii="Times New Roman" w:cs="Times New Roman" w:eastAsia="Times New Roman" w:hAnsi="Times New Roman"/>
          <w:b/>
          <w:bCs/>
          <w:i w:val="false"/>
          <w:iCs w:val="false"/>
        </w:rPr>
        <w:t xml:space="preserve">executados</w:t>
      </w:r>
      <w:r>
        <w:rPr>
          <w:rFonts w:ascii="Times New Roman" w:cs="Times New Roman" w:eastAsia="Times New Roman" w:hAnsi="Times New Roman"/>
          <w:b w:val="false"/>
          <w:bCs w:val="false"/>
          <w:i w:val="false"/>
          <w:iCs w:val="false"/>
        </w:rPr>
        <w:t xml:space="preserve"> e "DETERMINOU o cumprimento do item 2", o que mostra que o juízo tratou o item 2 como comando executório, não como decisão de mérito sobre a base.</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transcrever lado a lado os dois trechos de fls. 3065 e 3066; pedir que a Câmara declare que a metodologia de 1987 nasceu de ato sem contraditório e fora do objeto do incidente; deixar claro que o agravo ataca fls. 3435/3437 e apenas invoca a invalidade de fls. 3066 como causa de pedir.</w:t>
      </w:r>
    </w:p>
    <w:p>
      <w:pPr>
        <w:pStyle w:val="Heading2"/>
        <w:keepNext/>
      </w:pPr>
      <w:r>
        <w:rPr>
          <w:rFonts w:ascii="Times New Roman" w:cs="Times New Roman" w:eastAsia="Times New Roman" w:hAnsi="Times New Roman"/>
        </w:rPr>
        <w:t xml:space="preserve">A3. Natureza da conta de 1995 e adequação dos artigos</w:t>
      </w:r>
    </w:p>
    <w:p>
      <w:pPr>
        <w:spacing w:after="120" w:line="360"/>
        <w:jc w:val="both"/>
      </w:pPr>
      <w:r>
        <w:rPr>
          <w:rFonts w:ascii="Times New Roman" w:cs="Times New Roman" w:eastAsia="Times New Roman" w:hAnsi="Times New Roman"/>
          <w:b w:val="false"/>
          <w:bCs w:val="false"/>
          <w:i w:val="false"/>
          <w:iCs w:val="false"/>
        </w:rPr>
        <w:t xml:space="preserve">🟨 A conta de 1995 é conta de </w:t>
      </w:r>
      <w:r>
        <w:rPr>
          <w:rFonts w:ascii="Times New Roman" w:cs="Times New Roman" w:eastAsia="Times New Roman" w:hAnsi="Times New Roman"/>
          <w:b/>
          <w:bCs/>
          <w:i w:val="false"/>
          <w:iCs w:val="false"/>
        </w:rPr>
        <w:t xml:space="preserve">atualização/liquidação em execução de título extrajudicial</w:t>
      </w:r>
      <w:r>
        <w:rPr>
          <w:rFonts w:ascii="Times New Roman" w:cs="Times New Roman" w:eastAsia="Times New Roman" w:hAnsi="Times New Roman"/>
          <w:b w:val="false"/>
          <w:bCs w:val="false"/>
          <w:i w:val="false"/>
          <w:iCs w:val="false"/>
        </w:rPr>
        <w:t xml:space="preserve"> (CPC/73, art. 604 na redação da Lei 8.898/94), homologada por decisão interlocutória. Não há coisa julgada material. O EDcl no REsp 1.229.406/SP (1ª T., Rel. Min. Benedito Gonçalves, j. 16/02/2012, DJe 07/03/2012) trata de </w:t>
      </w:r>
      <w:r>
        <w:rPr>
          <w:rFonts w:ascii="Times New Roman" w:cs="Times New Roman" w:eastAsia="Times New Roman" w:hAnsi="Times New Roman"/>
          <w:b/>
          <w:bCs/>
          <w:i w:val="false"/>
          <w:iCs w:val="false"/>
        </w:rPr>
        <w:t xml:space="preserve">título judicial</w:t>
      </w:r>
      <w:r>
        <w:rPr>
          <w:rFonts w:ascii="Times New Roman" w:cs="Times New Roman" w:eastAsia="Times New Roman" w:hAnsi="Times New Roman"/>
          <w:b w:val="false"/>
          <w:bCs w:val="false"/>
          <w:i w:val="false"/>
          <w:iCs w:val="false"/>
        </w:rPr>
        <w:t xml:space="preserve"> (desapropriação indireta), conta homologada por sentença transitada e rescisória frustrada. Ainda assim, a ementa fala em "eficácia preclusiva da decisão de homologação" e os precedentes transcritos (EREsp 232.140/CE; EREsp 98.528/DF; EREsp 163.650/RS, Corte Especial) tratam de "sentença homologatória a salvo de recurso", ou seja, preclusão. Serve por analogia forte, com a ressalva expressa.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92"/>
        <w:gridCol w:w="797"/>
        <w:gridCol w:w="5982"/>
      </w:tblGrid>
      <w:tr>
        <w:trPr>
          <w:cantSplit/>
          <w:tblHeader/>
        </w:trPr>
        <w:tc>
          <w:tcPr>
            <w:tcW w:type="dxa" w:w="229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Artigo citado no agravo</w:t>
            </w:r>
          </w:p>
        </w:tc>
        <w:tc>
          <w:tcPr>
            <w:tcW w:type="dxa" w:w="79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Sinal</w:t>
            </w:r>
          </w:p>
        </w:tc>
        <w:tc>
          <w:tcPr>
            <w:tcW w:type="dxa" w:w="598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Comentário</w:t>
            </w:r>
          </w:p>
        </w:tc>
      </w:tr>
      <w:tr>
        <w:trPr>
          <w:cantSplit/>
          <w:tblHeader w:val="false"/>
        </w:trPr>
        <w:tc>
          <w:tcPr>
            <w:tcW w:type="dxa" w:w="22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505 CPC</w:t>
            </w:r>
          </w:p>
        </w:tc>
        <w:tc>
          <w:tcPr>
            <w:tcW w:type="dxa" w:w="79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59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Correto: preclusão </w:t>
            </w:r>
            <w:r>
              <w:rPr>
                <w:rFonts w:ascii="Times New Roman" w:cs="Times New Roman" w:eastAsia="Times New Roman" w:hAnsi="Times New Roman"/>
                <w:b w:val="false"/>
                <w:bCs w:val="false"/>
                <w:i/>
                <w:iCs/>
                <w:sz w:val="19"/>
                <w:szCs w:val="19"/>
              </w:rPr>
              <w:t xml:space="preserve">pro judicato</w:t>
            </w:r>
            <w:r>
              <w:rPr>
                <w:rFonts w:ascii="Times New Roman" w:cs="Times New Roman" w:eastAsia="Times New Roman" w:hAnsi="Times New Roman"/>
                <w:b w:val="false"/>
                <w:bCs w:val="false"/>
                <w:i w:val="false"/>
                <w:iCs w:val="false"/>
                <w:sz w:val="19"/>
                <w:szCs w:val="19"/>
              </w:rPr>
              <w:t xml:space="preserve">; equivale ao art. 471 CPC/73, vigente em 1995</w:t>
            </w:r>
          </w:p>
        </w:tc>
      </w:tr>
      <w:tr>
        <w:trPr>
          <w:cantSplit/>
          <w:tblHeader w:val="false"/>
        </w:trPr>
        <w:tc>
          <w:tcPr>
            <w:tcW w:type="dxa" w:w="22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507 CPC</w:t>
            </w:r>
          </w:p>
        </w:tc>
        <w:tc>
          <w:tcPr>
            <w:tcW w:type="dxa" w:w="79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59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Correto: preclusão para as partes; equivale ao art. 473 CPC/73</w:t>
            </w:r>
          </w:p>
        </w:tc>
      </w:tr>
      <w:tr>
        <w:trPr>
          <w:cantSplit/>
          <w:tblHeader w:val="false"/>
        </w:trPr>
        <w:tc>
          <w:tcPr>
            <w:tcW w:type="dxa" w:w="22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508 CPC</w:t>
            </w:r>
          </w:p>
        </w:tc>
        <w:tc>
          <w:tcPr>
            <w:tcW w:type="dxa" w:w="79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59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Trata da coisa julgada de sentença de mérito. Não se aplica a interlocutória em execução extrajudicial. Retirar</w:t>
            </w:r>
          </w:p>
        </w:tc>
      </w:tr>
      <w:tr>
        <w:trPr>
          <w:cantSplit/>
          <w:tblHeader w:val="false"/>
        </w:trPr>
        <w:tc>
          <w:tcPr>
            <w:tcW w:type="dxa" w:w="22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509, § 4º CPC</w:t>
            </w:r>
          </w:p>
        </w:tc>
        <w:tc>
          <w:tcPr>
            <w:tcW w:type="dxa" w:w="79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59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Rege liquidação de sentença. Usar só como analogia ("</w:t>
            </w:r>
            <w:r>
              <w:rPr>
                <w:rFonts w:ascii="Times New Roman" w:cs="Times New Roman" w:eastAsia="Times New Roman" w:hAnsi="Times New Roman"/>
                <w:b w:val="false"/>
                <w:bCs w:val="false"/>
                <w:i/>
                <w:iCs/>
                <w:sz w:val="19"/>
                <w:szCs w:val="19"/>
              </w:rPr>
              <w:t xml:space="preserve">mutatis mutandis</w:t>
            </w: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2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337, § 5º c/c 508</w:t>
            </w:r>
          </w:p>
        </w:tc>
        <w:tc>
          <w:tcPr>
            <w:tcW w:type="dxa" w:w="79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59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preclusão não está entre as matérias de ofício do art. 337. Retirar</w:t>
            </w:r>
          </w:p>
        </w:tc>
      </w:tr>
      <w:tr>
        <w:trPr>
          <w:cantSplit/>
          <w:tblHeader w:val="false"/>
        </w:trPr>
        <w:tc>
          <w:tcPr>
            <w:tcW w:type="dxa" w:w="22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Súmula 381/STJ</w:t>
            </w:r>
          </w:p>
        </w:tc>
        <w:tc>
          <w:tcPr>
            <w:tcW w:type="dxa" w:w="79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59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Texto: "Nos contratos bancários, é vedado ao julgador conhecer, de ofício, da abusividade das cláusulas." O repetitivo de origem (REsp 1.061.530/RS, 2ª Seção, 22/10/2008) </w:t>
            </w:r>
            <w:r>
              <w:rPr>
                <w:rFonts w:ascii="Times New Roman" w:cs="Times New Roman" w:eastAsia="Times New Roman" w:hAnsi="Times New Roman"/>
                <w:b/>
                <w:bCs/>
                <w:i w:val="false"/>
                <w:iCs w:val="false"/>
                <w:sz w:val="19"/>
                <w:szCs w:val="19"/>
              </w:rPr>
              <w:t xml:space="preserve">excluiu</w:t>
            </w:r>
            <w:r>
              <w:rPr>
                <w:rFonts w:ascii="Times New Roman" w:cs="Times New Roman" w:eastAsia="Times New Roman" w:hAnsi="Times New Roman"/>
                <w:b w:val="false"/>
                <w:bCs w:val="false"/>
                <w:i w:val="false"/>
                <w:iCs w:val="false"/>
                <w:sz w:val="19"/>
                <w:szCs w:val="19"/>
              </w:rPr>
              <w:t xml:space="preserve"> da delimitação as "cédulas de crédito rural, industrial, bancária e comercial". Usar a súmula pelo princípio (vedação de revisão de ofício), com a ressalva</w:t>
            </w:r>
          </w:p>
        </w:tc>
      </w:tr>
      <w:tr>
        <w:trPr>
          <w:cantSplit/>
          <w:tblHeader w:val="false"/>
        </w:trPr>
        <w:tc>
          <w:tcPr>
            <w:tcW w:type="dxa" w:w="22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"Coisa julgada formal"</w:t>
            </w:r>
          </w:p>
        </w:tc>
        <w:tc>
          <w:tcPr>
            <w:tcW w:type="dxa" w:w="79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59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Adequado para a decisão de fls. 203 irrecorrida</w:t>
            </w:r>
          </w:p>
        </w:tc>
      </w:tr>
    </w:tbl>
    <w:p>
      <w:pPr>
        <w:spacing w:after="120"/>
      </w:pPr>
    </w:p>
    <w:p>
      <w:pPr>
        <w:spacing w:after="120" w:line="360"/>
        <w:jc w:val="both"/>
      </w:pPr>
      <w:r>
        <w:rPr>
          <w:rFonts w:ascii="Times New Roman" w:cs="Times New Roman" w:eastAsia="Times New Roman" w:hAnsi="Times New Roman"/>
          <w:b/>
          <w:bCs/>
          <w:i w:val="false"/>
          <w:iCs w:val="false"/>
        </w:rPr>
        <w:t xml:space="preserve">Redação correta sugerida:</w:t>
      </w:r>
      <w:r>
        <w:rPr>
          <w:rFonts w:ascii="Times New Roman" w:cs="Times New Roman" w:eastAsia="Times New Roman" w:hAnsi="Times New Roman"/>
          <w:b w:val="false"/>
          <w:bCs w:val="false"/>
          <w:i w:val="false"/>
          <w:iCs w:val="false"/>
        </w:rPr>
        <w:t xml:space="preserve"> "A decisão de fls. 203 e-SAJ / 152 física, irrecorrida (certidão de fls. 204), fixou a base do débito. Sobre ela incidem a preclusão </w:t>
      </w:r>
      <w:r>
        <w:rPr>
          <w:rFonts w:ascii="Times New Roman" w:cs="Times New Roman" w:eastAsia="Times New Roman" w:hAnsi="Times New Roman"/>
          <w:b w:val="false"/>
          <w:bCs w:val="false"/>
          <w:i/>
          <w:iCs/>
        </w:rPr>
        <w:t xml:space="preserve">pro judicato</w:t>
      </w:r>
      <w:r>
        <w:rPr>
          <w:rFonts w:ascii="Times New Roman" w:cs="Times New Roman" w:eastAsia="Times New Roman" w:hAnsi="Times New Roman"/>
          <w:b w:val="false"/>
          <w:bCs w:val="false"/>
          <w:i w:val="false"/>
          <w:iCs w:val="false"/>
        </w:rPr>
        <w:t xml:space="preserve"> (art. 471 do CPC/73; art. 505 do CPC/2015) e a preclusão para as partes (art. 473 do CPC/73; art. 507 do CPC/2015). A revisão de ofício de encargos de cédula bancária, trinta anos depois, viola ainda o princípio da Súmula 381/STJ e os arts. 9º e 10 do CPC."</w:t>
      </w:r>
    </w:p>
    <w:p>
      <w:pPr>
        <w:pStyle w:val="Heading2"/>
        <w:keepNext/>
      </w:pPr>
      <w:r>
        <w:rPr>
          <w:rFonts w:ascii="Times New Roman" w:cs="Times New Roman" w:eastAsia="Times New Roman" w:hAnsi="Times New Roman"/>
        </w:rPr>
        <w:t xml:space="preserve">A4. "Anatocismo é matéria de ordem pública, sem preclusão"</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A linha que prevalece hoje é a da preclusão, mesmo de matéria de ordem pública</w:t>
      </w:r>
      <w:r>
        <w:rPr>
          <w:rFonts w:ascii="Times New Roman" w:cs="Times New Roman" w:eastAsia="Times New Roman" w:hAnsi="Times New Roman"/>
          <w:b w:val="false"/>
          <w:bCs w:val="false"/>
          <w:i w:val="false"/>
          <w:iCs w:val="false"/>
        </w:rPr>
        <w:t xml:space="preserve">, quando há decisão homologatória expressa não impugnada.</w:t>
      </w:r>
    </w:p>
    <w:p>
      <w:pPr>
        <w:spacing w:after="120" w:line="360"/>
        <w:jc w:val="both"/>
      </w:pPr>
      <w:r>
        <w:rPr>
          <w:rFonts w:ascii="Times New Roman" w:cs="Times New Roman" w:eastAsia="Times New Roman" w:hAnsi="Times New Roman"/>
          <w:b w:val="false"/>
          <w:bCs w:val="false"/>
          <w:i w:val="false"/>
          <w:iCs w:val="false"/>
        </w:rPr>
        <w:t xml:space="preserve">A FAVOR (todos na pasta):</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STJ, 1ª T., </w:t>
      </w:r>
      <w:r>
        <w:rPr>
          <w:rFonts w:ascii="Times New Roman" w:cs="Times New Roman" w:eastAsia="Times New Roman" w:hAnsi="Times New Roman"/>
          <w:b/>
          <w:bCs/>
          <w:i w:val="false"/>
          <w:iCs w:val="false"/>
        </w:rPr>
        <w:t xml:space="preserve">EDcl no REsp 1.229.406/SP</w:t>
      </w:r>
      <w:r>
        <w:rPr>
          <w:rFonts w:ascii="Times New Roman" w:cs="Times New Roman" w:eastAsia="Times New Roman" w:hAnsi="Times New Roman"/>
          <w:b w:val="false"/>
          <w:bCs w:val="false"/>
          <w:i w:val="false"/>
          <w:iCs w:val="false"/>
        </w:rPr>
        <w:t xml:space="preserve">, Rel. Min. Benedito Gonçalves, j. 16/02/2012, DJe 07/03/2012 (Radi Macruz x DERSA): "não há como se afastar a eficácia preclusiva da decisão de homologação (…) não sendo mais possível se indagar a respeito da capitalização de juros ou anatocismo, 'independentemente do acerto ou desacerto dos critérios utilizados na formulação da conta'". Confirmado no </w:t>
      </w:r>
      <w:r>
        <w:rPr>
          <w:rFonts w:ascii="Times New Roman" w:cs="Times New Roman" w:eastAsia="Times New Roman" w:hAnsi="Times New Roman"/>
          <w:b/>
          <w:bCs/>
          <w:i w:val="false"/>
          <w:iCs w:val="false"/>
        </w:rPr>
        <w:t xml:space="preserve">EREsp 1.229.406/SP</w:t>
      </w:r>
      <w:r>
        <w:rPr>
          <w:rFonts w:ascii="Times New Roman" w:cs="Times New Roman" w:eastAsia="Times New Roman" w:hAnsi="Times New Roman"/>
          <w:b w:val="false"/>
          <w:bCs w:val="false"/>
          <w:i w:val="false"/>
          <w:iCs w:val="false"/>
        </w:rPr>
        <w:t xml:space="preserve"> (Min. João Otávio de Noronha, decisão de 05/08/2014, DJe 12/08/2014), que </w:t>
      </w:r>
      <w:r>
        <w:rPr>
          <w:rFonts w:ascii="Times New Roman" w:cs="Times New Roman" w:eastAsia="Times New Roman" w:hAnsi="Times New Roman"/>
          <w:b/>
          <w:bCs/>
          <w:i w:val="false"/>
          <w:iCs w:val="false"/>
        </w:rPr>
        <w:t xml:space="preserve">distinguiu o REsp 148.938/RJ</w:t>
      </w:r>
      <w:r>
        <w:rPr>
          <w:rFonts w:ascii="Times New Roman" w:cs="Times New Roman" w:eastAsia="Times New Roman" w:hAnsi="Times New Roman"/>
          <w:b w:val="false"/>
          <w:bCs w:val="false"/>
          <w:i w:val="false"/>
          <w:iCs w:val="false"/>
        </w:rPr>
        <w:t xml:space="preserve">: os paradigmas "versaram acerca da discussão quanto à viabilidade de se alterar a sentença liquidanda em caso de erro material de cálculo", enquanto a conta homologada por decisão transitada é "imutável".</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STJ, 4ª T., </w:t>
      </w:r>
      <w:r>
        <w:rPr>
          <w:rFonts w:ascii="Times New Roman" w:cs="Times New Roman" w:eastAsia="Times New Roman" w:hAnsi="Times New Roman"/>
          <w:b/>
          <w:bCs/>
          <w:i w:val="false"/>
          <w:iCs w:val="false"/>
        </w:rPr>
        <w:t xml:space="preserve">AgInt no AREsp 2.019.623/SP</w:t>
      </w:r>
      <w:r>
        <w:rPr>
          <w:rFonts w:ascii="Times New Roman" w:cs="Times New Roman" w:eastAsia="Times New Roman" w:hAnsi="Times New Roman"/>
          <w:b w:val="false"/>
          <w:bCs w:val="false"/>
          <w:i w:val="false"/>
          <w:iCs w:val="false"/>
        </w:rPr>
        <w:t xml:space="preserve">, Rel. Min. Raul Araújo, sessão 13-19/09/2022: "sujeitam-se à preclusão consumativa as questões decididas no processo, inclusive as de ordem pública, que não tenham sido objeto de impugnação recursal no momento próprio".</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STJ, 2ª T., </w:t>
      </w:r>
      <w:r>
        <w:rPr>
          <w:rFonts w:ascii="Times New Roman" w:cs="Times New Roman" w:eastAsia="Times New Roman" w:hAnsi="Times New Roman"/>
          <w:b/>
          <w:bCs/>
          <w:i w:val="false"/>
          <w:iCs w:val="false"/>
        </w:rPr>
        <w:t xml:space="preserve">AgInt no REsp 1.476.534/CE</w:t>
      </w:r>
      <w:r>
        <w:rPr>
          <w:rFonts w:ascii="Times New Roman" w:cs="Times New Roman" w:eastAsia="Times New Roman" w:hAnsi="Times New Roman"/>
          <w:b w:val="false"/>
          <w:bCs w:val="false"/>
          <w:i w:val="false"/>
          <w:iCs w:val="false"/>
        </w:rPr>
        <w:t xml:space="preserve">, Rel. Min. Og Fernandes, sessão 10-16/08/2021: "As matérias de ordem pública (…) não se sujeitam à preclusão temporal, porém ficam acobertadas tanto pela preclusão consumativa como pela preclusão lógica."</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STJ, 3ª T., </w:t>
      </w:r>
      <w:r>
        <w:rPr>
          <w:rFonts w:ascii="Times New Roman" w:cs="Times New Roman" w:eastAsia="Times New Roman" w:hAnsi="Times New Roman"/>
          <w:b/>
          <w:bCs/>
          <w:i w:val="false"/>
          <w:iCs w:val="false"/>
        </w:rPr>
        <w:t xml:space="preserve">AgInt no REsp 2.127.021/DF</w:t>
      </w:r>
      <w:r>
        <w:rPr>
          <w:rFonts w:ascii="Times New Roman" w:cs="Times New Roman" w:eastAsia="Times New Roman" w:hAnsi="Times New Roman"/>
          <w:b w:val="false"/>
          <w:bCs w:val="false"/>
          <w:i w:val="false"/>
          <w:iCs w:val="false"/>
        </w:rPr>
        <w:t xml:space="preserve">, Rel. Min. Humberto Martins, sessão 13-19/08/2024 (execução de título extrajudicial; TERRACAP): "O erro material, passível de alteração a qualquer tempo, é aquele evidente, derivado de simples cálculo aritmético ou inexatidão material e não aquele decorrente de elementos ou critérios de cálculo"; "A decisão judicial que homologa os cálculos (…) está sujeita à preclusão".</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STJ, 4ª T., </w:t>
      </w:r>
      <w:r>
        <w:rPr>
          <w:rFonts w:ascii="Times New Roman" w:cs="Times New Roman" w:eastAsia="Times New Roman" w:hAnsi="Times New Roman"/>
          <w:b/>
          <w:bCs/>
          <w:i w:val="false"/>
          <w:iCs w:val="false"/>
        </w:rPr>
        <w:t xml:space="preserve">AgInt no AREsp 2.500.976/PR</w:t>
      </w:r>
      <w:r>
        <w:rPr>
          <w:rFonts w:ascii="Times New Roman" w:cs="Times New Roman" w:eastAsia="Times New Roman" w:hAnsi="Times New Roman"/>
          <w:b w:val="false"/>
          <w:bCs w:val="false"/>
          <w:i w:val="false"/>
          <w:iCs w:val="false"/>
        </w:rPr>
        <w:t xml:space="preserve">, Rel. Min. João Otávio de Noronha, sessão 03-09/03/2026, DJEN 12/03/2026 (execução de título extrajudicial bancário cedido a securitizadora): "Concordância expressa com a conta homologada acarreta preclusão lógica"; ataque a "critérios de cálculo, não simples inexatidões aritméticas".</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STJ, 2ª T., </w:t>
      </w:r>
      <w:r>
        <w:rPr>
          <w:rFonts w:ascii="Times New Roman" w:cs="Times New Roman" w:eastAsia="Times New Roman" w:hAnsi="Times New Roman"/>
          <w:b/>
          <w:bCs/>
          <w:i w:val="false"/>
          <w:iCs w:val="false"/>
        </w:rPr>
        <w:t xml:space="preserve">REsp 1.861.550/DF</w:t>
      </w:r>
      <w:r>
        <w:rPr>
          <w:rFonts w:ascii="Times New Roman" w:cs="Times New Roman" w:eastAsia="Times New Roman" w:hAnsi="Times New Roman"/>
          <w:b w:val="false"/>
          <w:bCs w:val="false"/>
          <w:i w:val="false"/>
          <w:iCs w:val="false"/>
        </w:rPr>
        <w:t xml:space="preserve">, Rel. Min. Og Fernandes, j. 16/06/2020: rejeita recálculo de ofício de encargos "por se tratar de matéria de ordem pública" quando há decisão estabilizada.</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TJSP, 19ª CDP, </w:t>
      </w:r>
      <w:r>
        <w:rPr>
          <w:rFonts w:ascii="Times New Roman" w:cs="Times New Roman" w:eastAsia="Times New Roman" w:hAnsi="Times New Roman"/>
          <w:b/>
          <w:bCs/>
          <w:i w:val="false"/>
          <w:iCs w:val="false"/>
        </w:rPr>
        <w:t xml:space="preserve">AI 2250267-55.2023.8.26.0000</w:t>
      </w:r>
      <w:r>
        <w:rPr>
          <w:rFonts w:ascii="Times New Roman" w:cs="Times New Roman" w:eastAsia="Times New Roman" w:hAnsi="Times New Roman"/>
          <w:b w:val="false"/>
          <w:bCs w:val="false"/>
          <w:i w:val="false"/>
          <w:iCs w:val="false"/>
        </w:rPr>
        <w:t xml:space="preserve"> (Barueri), Rel. Des. Cláudia Grieco Tabosa Pessoa, j. 11/12/2023: "FLAGRANTE PRECLUSÃO DA MATÉRIA. Homologação objeto de decisório anterior, do qual não sobreveio recurso".</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TJSP, 7ª CDP, </w:t>
      </w:r>
      <w:r>
        <w:rPr>
          <w:rFonts w:ascii="Times New Roman" w:cs="Times New Roman" w:eastAsia="Times New Roman" w:hAnsi="Times New Roman"/>
          <w:b/>
          <w:bCs/>
          <w:i w:val="false"/>
          <w:iCs w:val="false"/>
        </w:rPr>
        <w:t xml:space="preserve">AI 2401202-39.2025.8.26.0000</w:t>
      </w:r>
      <w:r>
        <w:rPr>
          <w:rFonts w:ascii="Times New Roman" w:cs="Times New Roman" w:eastAsia="Times New Roman" w:hAnsi="Times New Roman"/>
          <w:b w:val="false"/>
          <w:bCs w:val="false"/>
          <w:i w:val="false"/>
          <w:iCs w:val="false"/>
        </w:rPr>
        <w:t xml:space="preserve"> (Santo André), Rel. Des. Pastorelo Kfouri, j. 30/04/2026: "A ausência de impugnação aos cálculos na fase de liquidação implica preclusão e legitima sua homologação"; multa de 2% por má-fé ao devedor.</w:t>
      </w:r>
    </w:p>
    <w:p>
      <w:pPr>
        <w:spacing w:after="120" w:line="360"/>
        <w:jc w:val="both"/>
      </w:pPr>
      <w:r>
        <w:rPr>
          <w:rFonts w:ascii="Times New Roman" w:cs="Times New Roman" w:eastAsia="Times New Roman" w:hAnsi="Times New Roman"/>
          <w:b w:val="false"/>
          <w:bCs w:val="false"/>
          <w:i w:val="false"/>
          <w:iCs w:val="false"/>
        </w:rPr>
        <w:t xml:space="preserve">CONTRA (a distinguir):</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STJ, 3ª T., </w:t>
      </w:r>
      <w:r>
        <w:rPr>
          <w:rFonts w:ascii="Times New Roman" w:cs="Times New Roman" w:eastAsia="Times New Roman" w:hAnsi="Times New Roman"/>
          <w:b/>
          <w:bCs/>
          <w:i w:val="false"/>
          <w:iCs w:val="false"/>
        </w:rPr>
        <w:t xml:space="preserve">REsp 148.938/RJ</w:t>
      </w:r>
      <w:r>
        <w:rPr>
          <w:rFonts w:ascii="Times New Roman" w:cs="Times New Roman" w:eastAsia="Times New Roman" w:hAnsi="Times New Roman"/>
          <w:b w:val="false"/>
          <w:bCs w:val="false"/>
          <w:i w:val="false"/>
          <w:iCs w:val="false"/>
        </w:rPr>
        <w:t xml:space="preserve">, Rel. Min. Waldemar Zveiter (vencido em parte; voto prevalente do Min. Ari Pargendler), j. 12/09/2000, DJ 12/03/2001: ementa II "Em liquidação, a preclusão de despacho não pode servir de escudo para perpetuar mudanças no decidido pela sentença liquidanda"; III "A prática do anatocismo é vedada". </w:t>
      </w:r>
      <w:r>
        <w:rPr>
          <w:rFonts w:ascii="Times New Roman" w:cs="Times New Roman" w:eastAsia="Times New Roman" w:hAnsi="Times New Roman"/>
          <w:b/>
          <w:bCs/>
          <w:i w:val="false"/>
          <w:iCs w:val="false"/>
        </w:rPr>
        <w:t xml:space="preserve">Distinção:</w:t>
      </w:r>
      <w:r>
        <w:rPr>
          <w:rFonts w:ascii="Times New Roman" w:cs="Times New Roman" w:eastAsia="Times New Roman" w:hAnsi="Times New Roman"/>
          <w:b w:val="false"/>
          <w:bCs w:val="false"/>
          <w:i w:val="false"/>
          <w:iCs w:val="false"/>
        </w:rPr>
        <w:t xml:space="preserve"> (a) lá o ato "precluso" era mero despacho de orientação pericial (Pargendler: "irrecorríveis e, portanto, insuscetíveis de preclusão"), e a sentença de liquidação estava sob recurso; aqui há decisão homologatória expressa, publicada, com certidão de decurso de prazo; (b) o próprio voto ressalva a Súmula 93/STJ ("A capitalização de juros só é permitida em casos excepcionais, como ocorre com a Súmula 93/STJ"), e a cédula industrial é exatamente esse caso; (c) o STJ já fez a distinção no EREsp 1.229.406.</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TJSP, 20ª CDP, </w:t>
      </w:r>
      <w:r>
        <w:rPr>
          <w:rFonts w:ascii="Times New Roman" w:cs="Times New Roman" w:eastAsia="Times New Roman" w:hAnsi="Times New Roman"/>
          <w:b/>
          <w:bCs/>
          <w:i w:val="false"/>
          <w:iCs w:val="false"/>
        </w:rPr>
        <w:t xml:space="preserve">AI 2123223-58.2020.8.26.0000</w:t>
      </w:r>
      <w:r>
        <w:rPr>
          <w:rFonts w:ascii="Times New Roman" w:cs="Times New Roman" w:eastAsia="Times New Roman" w:hAnsi="Times New Roman"/>
          <w:b w:val="false"/>
          <w:bCs w:val="false"/>
          <w:i w:val="false"/>
          <w:iCs w:val="false"/>
        </w:rPr>
        <w:t xml:space="preserve">, Rel. Des. Rebello Pinho, j. 24/08/2020: </w:t>
      </w:r>
      <w:r>
        <w:rPr>
          <w:rFonts w:ascii="Times New Roman" w:cs="Times New Roman" w:eastAsia="Times New Roman" w:hAnsi="Times New Roman"/>
          <w:b/>
          <w:bCs/>
          <w:i w:val="false"/>
          <w:iCs w:val="false"/>
        </w:rPr>
        <w:t xml:space="preserve">reformou</w:t>
      </w:r>
      <w:r>
        <w:rPr>
          <w:rFonts w:ascii="Times New Roman" w:cs="Times New Roman" w:eastAsia="Times New Roman" w:hAnsi="Times New Roman"/>
          <w:b w:val="false"/>
          <w:bCs w:val="false"/>
          <w:i w:val="false"/>
          <w:iCs w:val="false"/>
        </w:rPr>
        <w:t xml:space="preserve"> homologação de conta da Contadoria por desconformidade com o título judicial. Distinção: fidelidade ao título; aqui o título (cédula) prevê capitalização e a conta de 1995 lhe é fiel.</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Precedente sobre erro material: AgInt no REsp 2.127.021 e AgInt no AREsp 2.500.976 dizem que critério de juros e capitalização </w:t>
      </w:r>
      <w:r>
        <w:rPr>
          <w:rFonts w:ascii="Times New Roman" w:cs="Times New Roman" w:eastAsia="Times New Roman" w:hAnsi="Times New Roman"/>
          <w:b/>
          <w:bCs/>
          <w:i w:val="false"/>
          <w:iCs w:val="false"/>
        </w:rPr>
        <w:t xml:space="preserve">não</w:t>
      </w:r>
      <w:r>
        <w:rPr>
          <w:rFonts w:ascii="Times New Roman" w:cs="Times New Roman" w:eastAsia="Times New Roman" w:hAnsi="Times New Roman"/>
          <w:b w:val="false"/>
          <w:bCs w:val="false"/>
          <w:i w:val="false"/>
          <w:iCs w:val="false"/>
        </w:rPr>
        <w:t xml:space="preserve"> é erro material. Isso responde ao art. 494, I.</w:t>
      </w:r>
    </w:p>
    <w:p>
      <w:pPr>
        <w:spacing w:after="120" w:line="360"/>
        <w:jc w:val="both"/>
      </w:pPr>
      <w:r>
        <w:rPr>
          <w:rFonts w:ascii="Times New Roman" w:cs="Times New Roman" w:eastAsia="Times New Roman" w:hAnsi="Times New Roman"/>
          <w:b w:val="false"/>
          <w:bCs w:val="false"/>
          <w:i w:val="false"/>
          <w:iCs w:val="false"/>
        </w:rPr>
        <w:t xml:space="preserve">Na 13ª CDP: não localizei acórdão específico sobre conta homologada. O que existe é a própria Relatora aplicando "preclusão </w:t>
      </w:r>
      <w:r>
        <w:rPr>
          <w:rFonts w:ascii="Times New Roman" w:cs="Times New Roman" w:eastAsia="Times New Roman" w:hAnsi="Times New Roman"/>
          <w:b w:val="false"/>
          <w:bCs w:val="false"/>
          <w:i/>
          <w:iCs/>
        </w:rPr>
        <w:t xml:space="preserve">pro iudicato</w:t>
      </w:r>
      <w:r>
        <w:rPr>
          <w:rFonts w:ascii="Times New Roman" w:cs="Times New Roman" w:eastAsia="Times New Roman" w:hAnsi="Times New Roman"/>
          <w:b w:val="false"/>
          <w:bCs w:val="false"/>
          <w:i w:val="false"/>
          <w:iCs w:val="false"/>
        </w:rPr>
        <w:t xml:space="preserve">" e "retrocesso indevido" (transcrevendo a decisão de 1º grau e adotando-a) no AI 2353386, quanto à avaliação. Nas 3ª e 4ª Turmas do STJ: linha uniforme de preclusão (2.127.021; 2.500.976; 2.019.623; 1.122.847).</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antecipar o REsp 148.938/RJ e o art. 494, I, e responder com o EREsp 1.229.406 (distinção feita pelo próprio STJ) e com a dupla "critério ≠ erro material" (2.127.021 e 2.500.976).</w:t>
      </w:r>
    </w:p>
    <w:p>
      <w:pPr>
        <w:pStyle w:val="Heading2"/>
        <w:keepNext/>
      </w:pPr>
      <w:r>
        <w:rPr>
          <w:rFonts w:ascii="Times New Roman" w:cs="Times New Roman" w:eastAsia="Times New Roman" w:hAnsi="Times New Roman"/>
        </w:rPr>
        <w:t xml:space="preserve">A5. Efeito devolutivo do AI 2236642-80.2025</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A favor dos exequentes, com uma reserva.</w:t>
      </w:r>
      <w:r>
        <w:rPr>
          <w:rFonts w:ascii="Times New Roman" w:cs="Times New Roman" w:eastAsia="Times New Roman" w:hAnsi="Times New Roman"/>
          <w:b w:val="false"/>
          <w:bCs w:val="false"/>
          <w:i w:val="false"/>
          <w:iCs w:val="false"/>
        </w:rPr>
        <w:t xml:space="preserve"> O acórdão (13ª CDP, j. 07/10/2025, v.u.) fixou: "a única tese ali deduzida foi o excesso de execução decorrente da suposta inclusão de encargos contratuais (…) sendo os cessionários (…) pessoas físicas"; a inclusão de multa/honorários "constituiu indevida inovação, veiculada apenas por ocasião da oposição de embargos de declaração"; "inviável sua análise originariamente no âmbito do presente recurso, sob pena de indevida supressão de um grau de jurisdição"; "mantida, no mais, a respeitável decisão de primeiro grau".</w:t>
      </w:r>
    </w:p>
    <w:p>
      <w:pPr>
        <w:spacing w:after="120" w:line="360"/>
        <w:jc w:val="both"/>
      </w:pPr>
      <w:r>
        <w:rPr>
          <w:rFonts w:ascii="Times New Roman" w:cs="Times New Roman" w:eastAsia="Times New Roman" w:hAnsi="Times New Roman"/>
          <w:b w:val="false"/>
          <w:bCs w:val="false"/>
          <w:i w:val="false"/>
          <w:iCs w:val="false"/>
        </w:rPr>
        <w:t xml:space="preserve">Consequências: (i) o executado </w:t>
      </w:r>
      <w:r>
        <w:rPr>
          <w:rFonts w:ascii="Times New Roman" w:cs="Times New Roman" w:eastAsia="Times New Roman" w:hAnsi="Times New Roman"/>
          <w:b/>
          <w:bCs/>
          <w:i w:val="false"/>
          <w:iCs w:val="false"/>
        </w:rPr>
        <w:t xml:space="preserve">não</w:t>
      </w:r>
      <w:r>
        <w:rPr>
          <w:rFonts w:ascii="Times New Roman" w:cs="Times New Roman" w:eastAsia="Times New Roman" w:hAnsi="Times New Roman"/>
          <w:b w:val="false"/>
          <w:bCs w:val="false"/>
          <w:i w:val="false"/>
          <w:iCs w:val="false"/>
        </w:rPr>
        <w:t xml:space="preserve"> podia, por embargos de declaração, ampliar a exceção; logo o item 2 de fls. 3066, que acolheu de ofício a tese ampliada (anatocismo da conta de fls. 3055), decidiu além do objeto do incidente; (ii) a Câmara </w:t>
      </w:r>
      <w:r>
        <w:rPr>
          <w:rFonts w:ascii="Times New Roman" w:cs="Times New Roman" w:eastAsia="Times New Roman" w:hAnsi="Times New Roman"/>
          <w:b/>
          <w:bCs/>
          <w:i w:val="false"/>
          <w:iCs w:val="false"/>
        </w:rPr>
        <w:t xml:space="preserve">não</w:t>
      </w:r>
      <w:r>
        <w:rPr>
          <w:rFonts w:ascii="Times New Roman" w:cs="Times New Roman" w:eastAsia="Times New Roman" w:hAnsi="Times New Roman"/>
          <w:b w:val="false"/>
          <w:bCs w:val="false"/>
          <w:i w:val="false"/>
          <w:iCs w:val="false"/>
        </w:rPr>
        <w:t xml:space="preserve"> julgou o mérito de multa e honorários, e "mantida no mais" abrange a decisão de fls. 3038/3044 (que o executado agravou), não gera coisa julgada sobre o item 2 de fls. 3066 em desfavor dos exequentes, que não eram recorrentes. Reserva: o acórdão diz que o AI foi contra fls. 3038/3044 </w:t>
      </w:r>
      <w:r>
        <w:rPr>
          <w:rFonts w:ascii="Times New Roman" w:cs="Times New Roman" w:eastAsia="Times New Roman" w:hAnsi="Times New Roman"/>
          <w:b/>
          <w:bCs/>
          <w:i w:val="false"/>
          <w:iCs w:val="false"/>
        </w:rPr>
        <w:t xml:space="preserve">e</w:t>
      </w:r>
      <w:r>
        <w:rPr>
          <w:rFonts w:ascii="Times New Roman" w:cs="Times New Roman" w:eastAsia="Times New Roman" w:hAnsi="Times New Roman"/>
          <w:b w:val="false"/>
          <w:bCs w:val="false"/>
          <w:i w:val="false"/>
          <w:iCs w:val="false"/>
        </w:rPr>
        <w:t xml:space="preserve"> 3064/3066 (fls. 3117/3119); a Relatora poderá dizer que o item 2 ficou "mantido no mais". Resposta: o item 2 beneficiava o executado; ninguém o impugnou naquele agravo; "mantida no mais" só alcança o que foi devolvido (art. 1.013, § 1º, por analogia).</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usar o acórdão como prova de que a metodologia de 1987 é matéria que a própria Câmara declarou estranha à exceção; nunca sustentar que "mantida no mais" cobriu o item 2.</w:t>
      </w:r>
    </w:p>
    <w:p>
      <w:pPr>
        <w:pStyle w:val="Heading2"/>
        <w:keepNext/>
      </w:pPr>
      <w:r>
        <w:rPr>
          <w:rFonts w:ascii="Times New Roman" w:cs="Times New Roman" w:eastAsia="Times New Roman" w:hAnsi="Times New Roman"/>
        </w:rPr>
        <w:t xml:space="preserve">A6. Decisões anteriores sobre cálculo (2007-2026) e preclusão contra os exequentes</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Nenhuma decisão anterior a fls. 3064/3066 fixou metodologia ou mandou partir de 1987.</w:t>
      </w:r>
      <w:r>
        <w:rPr>
          <w:rFonts w:ascii="Times New Roman" w:cs="Times New Roman" w:eastAsia="Times New Roman" w:hAnsi="Times New Roman"/>
          <w:b w:val="false"/>
          <w:bCs w:val="false"/>
          <w:i w:val="false"/>
          <w:iCs w:val="false"/>
        </w:rPr>
        <w:t xml:space="preserve"> Levantamento (fonte: pages.json conferido por cabeçalho; imagens onde indicado):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09"/>
        <w:gridCol w:w="1426"/>
        <w:gridCol w:w="1019"/>
        <w:gridCol w:w="3057"/>
        <w:gridCol w:w="3060"/>
      </w:tblGrid>
      <w:tr>
        <w:trPr>
          <w:cantSplit/>
          <w:tblHeader/>
        </w:trPr>
        <w:tc>
          <w:tcPr>
            <w:tcW w:type="dxa" w:w="509"/>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Data</w:t>
            </w:r>
          </w:p>
        </w:tc>
        <w:tc>
          <w:tcPr>
            <w:tcW w:type="dxa" w:w="142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Fls. e-SAJ / física</w:t>
            </w:r>
          </w:p>
        </w:tc>
        <w:tc>
          <w:tcPr>
            <w:tcW w:type="dxa" w:w="1019"/>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Juízo</w:t>
            </w:r>
          </w:p>
        </w:tc>
        <w:tc>
          <w:tcPr>
            <w:tcW w:type="dxa" w:w="305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Comando</w:t>
            </w:r>
          </w:p>
        </w:tc>
        <w:tc>
          <w:tcPr>
            <w:tcW w:type="dxa" w:w="306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Recurso/ressalva dos exequentes</w:t>
            </w:r>
          </w:p>
        </w:tc>
      </w:tr>
      <w:tr>
        <w:trPr>
          <w:cantSplit/>
          <w:tblHeader w:val="false"/>
        </w:trPr>
        <w:tc>
          <w:tcPr>
            <w:tcW w:type="dxa" w:w="50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07/12/2011</w:t>
            </w:r>
          </w:p>
        </w:tc>
        <w:tc>
          <w:tcPr>
            <w:tcW w:type="dxa" w:w="14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(extrato fls. 1461/1463)</w:t>
            </w:r>
          </w:p>
        </w:tc>
        <w:tc>
          <w:tcPr>
            <w:tcW w:type="dxa" w:w="101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Chavantes</w:t>
            </w:r>
          </w:p>
        </w:tc>
        <w:tc>
          <w:tcPr>
            <w:tcW w:type="dxa" w:w="30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"Providencie a parte exequente (…) o cálculo atualizado do débito"</w:t>
            </w:r>
          </w:p>
        </w:tc>
        <w:tc>
          <w:tcPr>
            <w:tcW w:type="dxa" w:w="3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planilha de 19/12/2011 (fls. 2583 e-SAJ), R$ 1.140.030,51, sem ressalva</w:t>
            </w:r>
          </w:p>
        </w:tc>
      </w:tr>
      <w:tr>
        <w:trPr>
          <w:cantSplit/>
          <w:tblHeader w:val="false"/>
        </w:trPr>
        <w:tc>
          <w:tcPr>
            <w:tcW w:type="dxa" w:w="50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16/05/2012</w:t>
            </w:r>
          </w:p>
        </w:tc>
        <w:tc>
          <w:tcPr>
            <w:tcW w:type="dxa" w:w="14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788/789 e-SAJ / 659 física</w:t>
            </w:r>
          </w:p>
        </w:tc>
        <w:tc>
          <w:tcPr>
            <w:tcW w:type="dxa" w:w="101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Ourinhos (Canezin)</w:t>
            </w:r>
          </w:p>
        </w:tc>
        <w:tc>
          <w:tcPr>
            <w:tcW w:type="dxa" w:w="30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indefere redução de penhora; "O crédito executado seria de R$ 1.140.030,51 (fls. 651)". Nada sobre método</w:t>
            </w:r>
          </w:p>
        </w:tc>
        <w:tc>
          <w:tcPr>
            <w:tcW w:type="dxa" w:w="3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não havia o que recorrer</w:t>
            </w:r>
          </w:p>
        </w:tc>
      </w:tr>
      <w:tr>
        <w:trPr>
          <w:cantSplit/>
          <w:tblHeader w:val="false"/>
        </w:trPr>
        <w:tc>
          <w:tcPr>
            <w:tcW w:type="dxa" w:w="50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06/06/2012</w:t>
            </w:r>
          </w:p>
        </w:tc>
        <w:tc>
          <w:tcPr>
            <w:tcW w:type="dxa" w:w="14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(extrato fls. 1459/1460)</w:t>
            </w:r>
          </w:p>
        </w:tc>
        <w:tc>
          <w:tcPr>
            <w:tcW w:type="dxa" w:w="101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Chavantes</w:t>
            </w:r>
          </w:p>
        </w:tc>
        <w:tc>
          <w:tcPr>
            <w:tcW w:type="dxa" w:w="30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cálculo atualizado + minuta de edital</w:t>
            </w:r>
          </w:p>
        </w:tc>
        <w:tc>
          <w:tcPr>
            <w:tcW w:type="dxa" w:w="3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planilha 05/07/2012 (fls. 2678), sem ressalva</w:t>
            </w:r>
          </w:p>
        </w:tc>
      </w:tr>
      <w:tr>
        <w:trPr>
          <w:cantSplit/>
          <w:tblHeader w:val="false"/>
        </w:trPr>
        <w:tc>
          <w:tcPr>
            <w:tcW w:type="dxa" w:w="50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27/04/2017</w:t>
            </w:r>
          </w:p>
        </w:tc>
        <w:tc>
          <w:tcPr>
            <w:tcW w:type="dxa" w:w="14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1057 e-SAJ / 913 física</w:t>
            </w:r>
          </w:p>
        </w:tc>
        <w:tc>
          <w:tcPr>
            <w:tcW w:type="dxa" w:w="101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Ourinhos (Canezin)</w:t>
            </w:r>
          </w:p>
        </w:tc>
        <w:tc>
          <w:tcPr>
            <w:tcW w:type="dxa" w:w="30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"não há que se falar em conta de liquidação a ser homologada"; se o executado quiser pagar, deposite</w:t>
            </w:r>
          </w:p>
        </w:tc>
        <w:tc>
          <w:tcPr>
            <w:tcW w:type="dxa" w:w="3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favorável aos exequentes</w:t>
            </w:r>
          </w:p>
        </w:tc>
      </w:tr>
      <w:tr>
        <w:trPr>
          <w:cantSplit/>
          <w:tblHeader w:val="false"/>
        </w:trPr>
        <w:tc>
          <w:tcPr>
            <w:tcW w:type="dxa" w:w="50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14/03/2024</w:t>
            </w:r>
          </w:p>
        </w:tc>
        <w:tc>
          <w:tcPr>
            <w:tcW w:type="dxa" w:w="14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1932/1933 e-SAJ (CP 395/396)</w:t>
            </w:r>
          </w:p>
        </w:tc>
        <w:tc>
          <w:tcPr>
            <w:tcW w:type="dxa" w:w="101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Chavantes (Trancoso)</w:t>
            </w:r>
          </w:p>
        </w:tc>
        <w:tc>
          <w:tcPr>
            <w:tcW w:type="dxa" w:w="30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"Quanto à atualização do valor do débito, tal diligência incumbe ao exequente, que ora se determina"</w:t>
            </w:r>
          </w:p>
        </w:tc>
        <w:tc>
          <w:tcPr>
            <w:tcW w:type="dxa" w:w="3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planilha 18/03/2024 (R$ 4.487.035,71, partindo de out/2019) e 19/04/2024 (R$ 3.262.747,35, </w:t>
            </w:r>
            <w:r>
              <w:rPr>
                <w:rFonts w:ascii="Times New Roman" w:cs="Times New Roman" w:eastAsia="Times New Roman" w:hAnsi="Times New Roman"/>
                <w:b/>
                <w:bCs/>
                <w:i w:val="false"/>
                <w:iCs w:val="false"/>
                <w:sz w:val="19"/>
                <w:szCs w:val="19"/>
              </w:rPr>
              <w:t xml:space="preserve">partindo de 1987</w:t>
            </w:r>
            <w:r>
              <w:rPr>
                <w:rFonts w:ascii="Times New Roman" w:cs="Times New Roman" w:eastAsia="Times New Roman" w:hAnsi="Times New Roman"/>
                <w:b w:val="false"/>
                <w:bCs w:val="false"/>
                <w:i w:val="false"/>
                <w:iCs w:val="false"/>
                <w:sz w:val="19"/>
                <w:szCs w:val="19"/>
              </w:rPr>
              <w:t xml:space="preserve">), sem ressalva</w:t>
            </w:r>
          </w:p>
        </w:tc>
      </w:tr>
      <w:tr>
        <w:trPr>
          <w:cantSplit/>
          <w:tblHeader w:val="false"/>
        </w:trPr>
        <w:tc>
          <w:tcPr>
            <w:tcW w:type="dxa" w:w="50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08/05/2025</w:t>
            </w:r>
          </w:p>
        </w:tc>
        <w:tc>
          <w:tcPr>
            <w:tcW w:type="dxa" w:w="14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3038/3044</w:t>
            </w:r>
          </w:p>
        </w:tc>
        <w:tc>
          <w:tcPr>
            <w:tcW w:type="dxa" w:w="101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Ourinhos</w:t>
            </w:r>
          </w:p>
        </w:tc>
        <w:tc>
          <w:tcPr>
            <w:tcW w:type="dxa" w:w="30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"Apresente o exequente cálculo atualizado do débito"</w:t>
            </w:r>
          </w:p>
        </w:tc>
        <w:tc>
          <w:tcPr>
            <w:tcW w:type="dxa" w:w="3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planilha 14/05/2025 (fls. 3054/3055, R$ 4.050.040,36), sem ressalva</w:t>
            </w:r>
          </w:p>
        </w:tc>
      </w:tr>
      <w:tr>
        <w:trPr>
          <w:cantSplit/>
          <w:tblHeader w:val="false"/>
        </w:trPr>
        <w:tc>
          <w:tcPr>
            <w:tcW w:type="dxa" w:w="50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29/05/2025</w:t>
            </w:r>
          </w:p>
        </w:tc>
        <w:tc>
          <w:tcPr>
            <w:tcW w:type="dxa" w:w="14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3064/3066</w:t>
            </w:r>
          </w:p>
        </w:tc>
        <w:tc>
          <w:tcPr>
            <w:tcW w:type="dxa" w:w="101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Ourinhos</w:t>
            </w:r>
          </w:p>
        </w:tc>
        <w:tc>
          <w:tcPr>
            <w:tcW w:type="dxa" w:w="30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item 2: metodologia de 1987</w:t>
            </w:r>
          </w:p>
        </w:tc>
        <w:tc>
          <w:tcPr>
            <w:tcW w:type="dxa" w:w="3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planilha 04/06/2025 (fls. 3077/3078, "em conformidade com a r. decisão de fls. 3038/3044"), </w:t>
            </w:r>
            <w:r>
              <w:rPr>
                <w:rFonts w:ascii="Times New Roman" w:cs="Times New Roman" w:eastAsia="Times New Roman" w:hAnsi="Times New Roman"/>
                <w:b/>
                <w:bCs/>
                <w:i w:val="false"/>
                <w:iCs w:val="false"/>
                <w:sz w:val="19"/>
                <w:szCs w:val="19"/>
              </w:rPr>
              <w:t xml:space="preserve">sem ressalva e sem recurso</w:t>
            </w:r>
          </w:p>
        </w:tc>
      </w:tr>
      <w:tr>
        <w:trPr>
          <w:cantSplit/>
          <w:tblHeader w:val="false"/>
        </w:trPr>
        <w:tc>
          <w:tcPr>
            <w:tcW w:type="dxa" w:w="50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17/07/2025</w:t>
            </w:r>
          </w:p>
        </w:tc>
        <w:tc>
          <w:tcPr>
            <w:tcW w:type="dxa" w:w="14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3082/3084</w:t>
            </w:r>
          </w:p>
        </w:tc>
        <w:tc>
          <w:tcPr>
            <w:tcW w:type="dxa" w:w="101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Ourinhos</w:t>
            </w:r>
          </w:p>
        </w:tc>
        <w:tc>
          <w:tcPr>
            <w:tcW w:type="dxa" w:w="30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"DETERMINO o cumprimento do item 2"</w:t>
            </w:r>
          </w:p>
        </w:tc>
        <w:tc>
          <w:tcPr>
            <w:tcW w:type="dxa" w:w="30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sem recurso</w:t>
            </w:r>
          </w:p>
        </w:tc>
      </w:tr>
    </w:tbl>
    <w:p>
      <w:pPr>
        <w:spacing w:after="120"/>
      </w:pPr>
    </w:p>
    <w:p>
      <w:pPr>
        <w:spacing w:after="120" w:line="360"/>
        <w:jc w:val="both"/>
      </w:pPr>
      <w:r>
        <w:rPr>
          <w:rFonts w:ascii="Times New Roman" w:cs="Times New Roman" w:eastAsia="Times New Roman" w:hAnsi="Times New Roman"/>
          <w:b/>
          <w:bCs/>
          <w:i w:val="false"/>
          <w:iCs w:val="false"/>
        </w:rPr>
        <w:t xml:space="preserve">Sobre o AgInt no AgInt no AREsp 1.539.138/SP e o AgInt no REsp 1.455.741/DF:</w:t>
      </w:r>
      <w:r>
        <w:rPr>
          <w:rFonts w:ascii="Times New Roman" w:cs="Times New Roman" w:eastAsia="Times New Roman" w:hAnsi="Times New Roman"/>
          <w:b w:val="false"/>
          <w:bCs w:val="false"/>
          <w:i w:val="false"/>
          <w:iCs w:val="false"/>
        </w:rPr>
        <w:t xml:space="preserve"> 🟨 não estão no Drive (arquivo trocado). A tese atribuída ("decisão que delimita cálculos deve ser atacada por agravo sob pena de preclusão") </w:t>
      </w:r>
      <w:r>
        <w:rPr>
          <w:rFonts w:ascii="Times New Roman" w:cs="Times New Roman" w:eastAsia="Times New Roman" w:hAnsi="Times New Roman"/>
          <w:b/>
          <w:bCs/>
          <w:i w:val="false"/>
          <w:iCs w:val="false"/>
        </w:rPr>
        <w:t xml:space="preserve">é exatamente o risco</w:t>
      </w:r>
      <w:r>
        <w:rPr>
          <w:rFonts w:ascii="Times New Roman" w:cs="Times New Roman" w:eastAsia="Times New Roman" w:hAnsi="Times New Roman"/>
          <w:b w:val="false"/>
          <w:bCs w:val="false"/>
          <w:i w:val="false"/>
          <w:iCs w:val="false"/>
        </w:rPr>
        <w:t xml:space="preserve">: a única decisão que "delimitou" foi fls. 3066, e ela não foi agravada pelos exequentes. Os despachos anteriores (2011, 2012, 2024, 08/05/2025) mandaram apenas "apresentar cálculo", sem delimitar critério; não geram preclusão de critério.</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afirmar, com a tabela acima, que até 29/05/2025 nenhuma decisão fixou base ou método, e que a primeira a fazê-lo o fez em embargos rejeitados, sobre matéria que o próprio juízo declarou estranha ao incidente.</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BLOCO B — HONORÁRIOS: 10% OU 20%?</w:t>
      </w:r>
    </w:p>
    <w:p>
      <w:pPr>
        <w:pStyle w:val="Heading2"/>
        <w:keepNext/>
      </w:pPr>
      <w:r>
        <w:rPr>
          <w:rFonts w:ascii="Times New Roman" w:cs="Times New Roman" w:eastAsia="Times New Roman" w:hAnsi="Times New Roman"/>
        </w:rPr>
        <w:t xml:space="preserve">B1. fls. 52 e-SAJ / 23 física</w:t>
      </w:r>
    </w:p>
    <w:p>
      <w:pPr>
        <w:spacing w:after="120" w:line="360"/>
        <w:jc w:val="both"/>
      </w:pPr>
      <w:r>
        <w:rPr>
          <w:rFonts w:ascii="Times New Roman" w:cs="Times New Roman" w:eastAsia="Times New Roman" w:hAnsi="Times New Roman"/>
          <w:b w:val="false"/>
          <w:bCs w:val="false"/>
          <w:i w:val="false"/>
          <w:iCs w:val="false"/>
        </w:rPr>
        <w:t xml:space="preserve">🟨 Ampliação a 800 dpi: o manuscrito é um algarismo com traço vertical grosso e gancho à esquerda, seguido de "0", sobre linha de sublinhado que se funde com a base do traço. </w:t>
      </w:r>
      <w:r>
        <w:rPr>
          <w:rFonts w:ascii="Times New Roman" w:cs="Times New Roman" w:eastAsia="Times New Roman" w:hAnsi="Times New Roman"/>
          <w:b/>
          <w:bCs/>
          <w:i w:val="false"/>
          <w:iCs w:val="false"/>
        </w:rPr>
        <w:t xml:space="preserve">Não é possível afirmar se é "1" ou "2".</w:t>
      </w:r>
      <w:r>
        <w:rPr>
          <w:rFonts w:ascii="Times New Roman" w:cs="Times New Roman" w:eastAsia="Times New Roman" w:hAnsi="Times New Roman"/>
          <w:b w:val="false"/>
          <w:bCs w:val="false"/>
          <w:i w:val="false"/>
          <w:iCs w:val="false"/>
        </w:rPr>
        <w:t xml:space="preserve"> O texto datilografado é legível: "fixo os honorários advocatícios em __ % sobre o </w:t>
      </w:r>
      <w:r>
        <w:rPr>
          <w:rFonts w:ascii="Times New Roman" w:cs="Times New Roman" w:eastAsia="Times New Roman" w:hAnsi="Times New Roman"/>
          <w:b/>
          <w:bCs/>
          <w:i w:val="false"/>
          <w:iCs w:val="false"/>
        </w:rPr>
        <w:t xml:space="preserve">valor dado à causa</w:t>
      </w:r>
      <w:r>
        <w:rPr>
          <w:rFonts w:ascii="Times New Roman" w:cs="Times New Roman" w:eastAsia="Times New Roman" w:hAnsi="Times New Roman"/>
          <w:b w:val="false"/>
          <w:bCs w:val="false"/>
          <w:i w:val="false"/>
          <w:iCs w:val="false"/>
        </w:rPr>
        <w:t xml:space="preserve">". Documentos convergentes de 1987: cédula, cláusula 5, § único (fls. 39 e-SAJ / 12 física): "honorários advocatícios, desde já fixados em </w:t>
      </w:r>
      <w:r>
        <w:rPr>
          <w:rFonts w:ascii="Times New Roman" w:cs="Times New Roman" w:eastAsia="Times New Roman" w:hAnsi="Times New Roman"/>
          <w:b/>
          <w:bCs/>
          <w:i w:val="false"/>
          <w:iCs w:val="false"/>
        </w:rPr>
        <w:t xml:space="preserve">10% no montante do débito</w:t>
      </w:r>
      <w:r>
        <w:rPr>
          <w:rFonts w:ascii="Times New Roman" w:cs="Times New Roman" w:eastAsia="Times New Roman" w:hAnsi="Times New Roman"/>
          <w:b w:val="false"/>
          <w:bCs w:val="false"/>
          <w:i w:val="false"/>
          <w:iCs w:val="false"/>
        </w:rPr>
        <w:t xml:space="preserve">"; inicial (fls. 31 e-SAJ / 06 física): "honorários advocatícios calculados na base de </w:t>
      </w:r>
      <w:r>
        <w:rPr>
          <w:rFonts w:ascii="Times New Roman" w:cs="Times New Roman" w:eastAsia="Times New Roman" w:hAnsi="Times New Roman"/>
          <w:b/>
          <w:bCs/>
          <w:i w:val="false"/>
          <w:iCs w:val="false"/>
        </w:rPr>
        <w:t xml:space="preserve">10% (dez por cento) sobre o montante do débito</w:t>
      </w:r>
      <w:r>
        <w:rPr>
          <w:rFonts w:ascii="Times New Roman" w:cs="Times New Roman" w:eastAsia="Times New Roman" w:hAnsi="Times New Roman"/>
          <w:b w:val="false"/>
          <w:bCs w:val="false"/>
          <w:i w:val="false"/>
          <w:iCs w:val="false"/>
        </w:rPr>
        <w:t xml:space="preserve">, conforme cláusula contratual"; mandado (fls. 54 e-SAJ / 24 física): "arbitrados em </w:t>
      </w:r>
      <w:r>
        <w:rPr>
          <w:rFonts w:ascii="Times New Roman" w:cs="Times New Roman" w:eastAsia="Times New Roman" w:hAnsi="Times New Roman"/>
          <w:b/>
          <w:bCs/>
          <w:i w:val="false"/>
          <w:iCs w:val="false"/>
        </w:rPr>
        <w:t xml:space="preserve">10% (dez por cento) do valor atribuído à causa</w:t>
      </w: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Leitura mais provável: 10%</w:t>
      </w:r>
      <w:r>
        <w:rPr>
          <w:rFonts w:ascii="Times New Roman" w:cs="Times New Roman" w:eastAsia="Times New Roman" w:hAnsi="Times New Roman"/>
          <w:b w:val="false"/>
          <w:bCs w:val="false"/>
          <w:i w:val="false"/>
          <w:iCs w:val="false"/>
        </w:rPr>
        <w:t xml:space="preserve">, sobre o valor da causa (Cz$ 2.340.293,44).</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não usar fls. 52 como prova de 20%.</w:t>
      </w:r>
      <w:r>
        <w:rPr>
          <w:rFonts w:ascii="Times New Roman" w:cs="Times New Roman" w:eastAsia="Times New Roman" w:hAnsi="Times New Roman"/>
          <w:b w:val="false"/>
          <w:bCs w:val="false"/>
          <w:i w:val="false"/>
          <w:iCs w:val="false"/>
        </w:rPr>
        <w:t xml:space="preserve"> A afirmação do agravo ("decisão judicial de 03/11/1987 (fls. 52), que expressamente arbitrou os honorários advocatícios em 20%") é 🟥 e deve ser retificada espontaneamente, para evitar o art. 80, II.</w:t>
      </w:r>
    </w:p>
    <w:p>
      <w:pPr>
        <w:pStyle w:val="Heading2"/>
        <w:keepNext/>
      </w:pPr>
      <w:r>
        <w:rPr>
          <w:rFonts w:ascii="Times New Roman" w:cs="Times New Roman" w:eastAsia="Times New Roman" w:hAnsi="Times New Roman"/>
        </w:rPr>
        <w:t xml:space="preserve">B2. Tabela cronológica: honorários, 20%, Embargos</w:t>
      </w:r>
    </w:p>
    <w:p>
      <w:pPr>
        <w:spacing w:after="120" w:line="360"/>
        <w:jc w:val="both"/>
      </w:pPr>
      <w:r>
        <w:rPr>
          <w:rFonts w:ascii="Times New Roman" w:cs="Times New Roman" w:eastAsia="Times New Roman" w:hAnsi="Times New Roman"/>
          <w:b w:val="false"/>
          <w:bCs w:val="false"/>
          <w:i w:val="false"/>
          <w:iCs w:val="false"/>
        </w:rPr>
        <w:t xml:space="preserve">🟩 (com lacunas 🟨 nas folhas não lidas)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62"/>
        <w:gridCol w:w="2516"/>
        <w:gridCol w:w="1920"/>
        <w:gridCol w:w="3973"/>
      </w:tblGrid>
      <w:tr>
        <w:trPr>
          <w:cantSplit/>
          <w:tblHeader/>
        </w:trPr>
        <w:tc>
          <w:tcPr>
            <w:tcW w:type="dxa" w:w="66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Data</w:t>
            </w:r>
          </w:p>
        </w:tc>
        <w:tc>
          <w:tcPr>
            <w:tcW w:type="dxa" w:w="251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Fls. e-SAJ / física</w:t>
            </w:r>
          </w:p>
        </w:tc>
        <w:tc>
          <w:tcPr>
            <w:tcW w:type="dxa" w:w="192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Quem</w:t>
            </w:r>
          </w:p>
        </w:tc>
        <w:tc>
          <w:tcPr>
            <w:tcW w:type="dxa" w:w="397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Texto literal</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06/05/1987</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39 / 12</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Cédula 52/559</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Único: (…) honorários advocatícios, desde já fixados em 10% no montante do débito"</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10/10/1987</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31 / 06</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Banespa (inicial)</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advocatícios calculados na base de 10% (dez por cento) sobre o montante do débito, conforme cláusula contratual (…) Dá, à causa, o valor de cz$ 2.340.293,44"</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03/11/1987</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52 / 23</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Miguel Cucinelli</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"fixo os honorários advocatícios em [ilegível] % sobre o valor dado à causa"</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10/11/1987</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54 / 24</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Mandado</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advocatícios do exequente, arbitrados em 10% (dez por cento) do valor atribuído à causa"</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13/04/1988</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Embargos 0015252</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"Entrados em 13/04/1988 com origem no Processo Principal" (extrato e-SAJ)</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03/05/1991</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32/47 dos embargos (🟨 não lidos)</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Sentença dos embargos</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Segundo fls. 1483 e-SAJ (exequentes, 2024): "a condenação em verba honorária de sucumbência, no importe de 20% sobre o valor devido, foi arbitrada nos Embargos a Execução (fls. 32 a 47) dos autos em apenso, cujo trânsito em julgado ocorreu as fls. 85 (…) cuja sentença data de 03 de maio de 1991, onde foram rejeitados os embargos"</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06/02/1995</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165 / 122</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Contadoria (1ª conta)</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20% R$ 26.502,72"</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02/03/1995</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177 / 132</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Banespa (Assessoria Jurídica)</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"HONORARIOS 20,00% R$ 705.476,53"</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05/10/1995</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180 / 134</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Contadoria (conta retificada)</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20% R$ 1.156.481,45"</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23/11/1995</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203 / 152</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Prado Neto</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homologa a conta de fls. 134/137</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12/09/2007</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2137/2139 (CP 600/602) / 148/150</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Santander</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advocatícios fixados nos Embargos à Execução no importe de 20% sobre o montante da execução (cópias autenticadas da sentença e acórdão anexa)"</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10/07/2009</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2402/2403 (CP 865/866)</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Santander (Tecnocon)</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"HONORARIOS EMBARGOS 847.132,35 x 20,00% = R$ 169.426,47"</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25/10/2019</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2885 (CP 1348)</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Cessionários</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de 20% nos Embargos a Execução: R$ 371.081,38"</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19/04/2024</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1948 (CP 411)</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Cessionários</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de 20% nos Embargos a Execução = R$ 543.791,22"</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02/05/2024</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1419 e 1421</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Executado</w:t>
            </w:r>
            <w:r>
              <w:rPr>
                <w:rFonts w:ascii="Times New Roman" w:cs="Times New Roman" w:eastAsia="Times New Roman" w:hAnsi="Times New Roman"/>
                <w:b w:val="false"/>
                <w:bCs w:val="false"/>
                <w:i w:val="false"/>
                <w:iCs w:val="false"/>
                <w:sz w:val="19"/>
                <w:szCs w:val="19"/>
              </w:rPr>
              <w:t xml:space="preserve"> (Zanoni)</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"condenado o embargante as verbas da sucumbência em 20% do valor do débito, que transitou em julgado"; "verba honorária sucumbencial de 20% sobre o valor do débito, verba que foi deferida ao procurador do Banco cedente nos autos dos embargos (…) não sendo objeto do contrato de cessão de crédito, mesmo porque os honorários sucumbenciais pertencem ao advogado"</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16/09/2024</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1538</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Exequentes</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"nem tampouco o pedido de desconsideração da verba honoraria arbitrada quando dos Embargos a Execução"</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08/05/2025</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3043</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Juiz Canezin</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multa de 10% e o valor dos honorários sequer são objeto de impugnação pelo executado"</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07/10/2025</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AI 2236642</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13ª CDP</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exceção de pré-executividade apresentada não veiculou alegação de indevida inclusão da verba sucumbencial no valor executado"</w:t>
            </w:r>
          </w:p>
        </w:tc>
      </w:tr>
      <w:tr>
        <w:trPr>
          <w:cantSplit/>
          <w:tblHeader w:val="false"/>
        </w:trPr>
        <w:tc>
          <w:tcPr>
            <w:tcW w:type="dxa" w:w="66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20/08/2026</w:t>
            </w:r>
          </w:p>
        </w:tc>
        <w:tc>
          <w:tcPr>
            <w:tcW w:type="dxa" w:w="25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3444/3445 (-2)</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Executado (Fittipaldi)</w:t>
            </w:r>
          </w:p>
        </w:tc>
        <w:tc>
          <w:tcPr>
            <w:tcW w:type="dxa" w:w="397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sucumbenciais devem ser considerados de 10% sobre o valor da causa, conforme mandado de intimação de fls. 54"</w:t>
            </w:r>
          </w:p>
        </w:tc>
      </w:tr>
    </w:tbl>
    <w:p>
      <w:pPr>
        <w:spacing w:after="120"/>
      </w:pPr>
    </w:p>
    <w:p>
      <w:pPr>
        <w:spacing w:after="120" w:line="360"/>
        <w:jc w:val="both"/>
      </w:pPr>
      <w:r>
        <w:rPr>
          <w:rFonts w:ascii="Times New Roman" w:cs="Times New Roman" w:eastAsia="Times New Roman" w:hAnsi="Times New Roman"/>
          <w:b w:val="false"/>
          <w:bCs w:val="false"/>
          <w:i w:val="false"/>
          <w:iCs w:val="false"/>
        </w:rPr>
        <w:t xml:space="preserve">Ocorrências no texto dos autos: "vinte por cento": 0; "1º TAC" e "Tribunal de Alçada": 0; "V. Acórdão": só em peças de 2023/2024 sobre o AI 2236655 (fls. 1757/1758) e a decisão de Chavantes de 27/08/2024; "841/87": fls. 1456. Impugnação de 1995 (fls. 174/175) fala em "V. Acórdão" não identificado (🟨: provavelmente o acórdão dos embargos).</w:t>
      </w:r>
    </w:p>
    <w:p>
      <w:pPr>
        <w:pStyle w:val="Heading2"/>
        <w:keepNext/>
      </w:pPr>
      <w:r>
        <w:rPr>
          <w:rFonts w:ascii="Times New Roman" w:cs="Times New Roman" w:eastAsia="Times New Roman" w:hAnsi="Times New Roman"/>
        </w:rPr>
        <w:t xml:space="preserve">B3. Existe decisão fixando 20%?</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Nos autos da execução, não há cópia lida da sentença/acórdão dos embargos.</w:t>
      </w:r>
      <w:r>
        <w:rPr>
          <w:rFonts w:ascii="Times New Roman" w:cs="Times New Roman" w:eastAsia="Times New Roman" w:hAnsi="Times New Roman"/>
          <w:b w:val="false"/>
          <w:bCs w:val="false"/>
          <w:i w:val="false"/>
          <w:iCs w:val="false"/>
        </w:rPr>
        <w:t xml:space="preserve"> Há, porém, três provas indiretas convergentes: (i) a admissão do próprio executado em fls. 1419/1421 ("condenado o embargante as verbas da sucumbência em 20% do valor do débito, que transitou em julgado"); (ii) a petição do Santander de 2007 anexando "cópias autenticadas da sentença e acórdão"; (iii) as duas contas da Contadoria de 1995 (antes e depois da impugnação) aplicando 20%. Os 20% são </w:t>
      </w:r>
      <w:r>
        <w:rPr>
          <w:rFonts w:ascii="Times New Roman" w:cs="Times New Roman" w:eastAsia="Times New Roman" w:hAnsi="Times New Roman"/>
          <w:b/>
          <w:bCs/>
          <w:i w:val="false"/>
          <w:iCs w:val="false"/>
        </w:rPr>
        <w:t xml:space="preserve">sucumbência dos embargos</w:t>
      </w:r>
      <w:r>
        <w:rPr>
          <w:rFonts w:ascii="Times New Roman" w:cs="Times New Roman" w:eastAsia="Times New Roman" w:hAnsi="Times New Roman"/>
          <w:b w:val="false"/>
          <w:bCs w:val="false"/>
          <w:i w:val="false"/>
          <w:iCs w:val="false"/>
        </w:rPr>
        <w:t xml:space="preserve"> (sentença de 03/05/1991), cumulativos ou substitutivos dos 10% do "cite-se"; isso precisa ser lido na sentença. A tese do executado agora (fls. 3444) ignora a sua própria confissão de 2024.</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juntar (art. 435) a sentença e o acórdão dos embargos (cópias já nos autos da CP, fls. ~2140/2160 e-SAJ, ou dos autos digitalizados dos embargos, fls. 32/47 e 85), e transcrever fls. 1419/1421 e-SAJ como confissão do executado.</w:t>
      </w:r>
    </w:p>
    <w:p>
      <w:pPr>
        <w:pStyle w:val="Heading2"/>
        <w:keepNext/>
      </w:pPr>
      <w:r>
        <w:rPr>
          <w:rFonts w:ascii="Times New Roman" w:cs="Times New Roman" w:eastAsia="Times New Roman" w:hAnsi="Times New Roman"/>
        </w:rPr>
        <w:t xml:space="preserve">B4. Base de cálculo</w:t>
      </w:r>
    </w:p>
    <w:p>
      <w:pPr>
        <w:spacing w:after="120" w:line="360"/>
        <w:jc w:val="both"/>
      </w:pPr>
      <w:r>
        <w:rPr>
          <w:rFonts w:ascii="Times New Roman" w:cs="Times New Roman" w:eastAsia="Times New Roman" w:hAnsi="Times New Roman"/>
          <w:b w:val="false"/>
          <w:bCs w:val="false"/>
          <w:i w:val="false"/>
          <w:iCs w:val="false"/>
        </w:rPr>
        <w:t xml:space="preserve">🟩 A conta homologada (fls. 180 / 134) calcula 20% sobre </w:t>
      </w:r>
      <w:r>
        <w:rPr>
          <w:rFonts w:ascii="Times New Roman" w:cs="Times New Roman" w:eastAsia="Times New Roman" w:hAnsi="Times New Roman"/>
          <w:b/>
          <w:bCs/>
          <w:i w:val="false"/>
          <w:iCs w:val="false"/>
        </w:rPr>
        <w:t xml:space="preserve">saldo + multa</w:t>
      </w:r>
      <w:r>
        <w:rPr>
          <w:rFonts w:ascii="Times New Roman" w:cs="Times New Roman" w:eastAsia="Times New Roman" w:hAnsi="Times New Roman"/>
          <w:b w:val="false"/>
          <w:bCs w:val="false"/>
          <w:i w:val="false"/>
          <w:iCs w:val="false"/>
        </w:rPr>
        <w:t xml:space="preserve"> (R$ 5.782.407,24 × 20% = R$ 1.156.481,45). Fls. 177 (Banespa) idem. O mandado fixa 10% sobre o valor da causa. </w:t>
      </w:r>
      <w:r>
        <w:rPr>
          <w:rFonts w:ascii="Times New Roman" w:cs="Times New Roman" w:eastAsia="Times New Roman" w:hAnsi="Times New Roman"/>
          <w:b/>
          <w:bCs/>
          <w:i w:val="false"/>
          <w:iCs w:val="false"/>
        </w:rPr>
        <w:t xml:space="preserve">Risco de redução:</w:t>
      </w:r>
      <w:r>
        <w:rPr>
          <w:rFonts w:ascii="Times New Roman" w:cs="Times New Roman" w:eastAsia="Times New Roman" w:hAnsi="Times New Roman"/>
          <w:b w:val="false"/>
          <w:bCs w:val="false"/>
          <w:i w:val="false"/>
          <w:iCs w:val="false"/>
        </w:rPr>
        <w:t xml:space="preserve"> baixo no agravo (a Câmara já disse, no AI 2236642, que não aprecia honorários originariamente); médio na origem, se o executado provar que a sentença de 1991 fixou 20% "sobre o valor dos embargos" ou base diversa. Não cabe redução de ofício de verba já homologada e preclusa (AgInt no REsp 2.127.021).</w:t>
      </w:r>
    </w:p>
    <w:p>
      <w:pPr>
        <w:pStyle w:val="Heading2"/>
        <w:keepNext/>
      </w:pPr>
      <w:r>
        <w:rPr>
          <w:rFonts w:ascii="Times New Roman" w:cs="Times New Roman" w:eastAsia="Times New Roman" w:hAnsi="Times New Roman"/>
        </w:rPr>
        <w:t xml:space="preserve">B5. Estratégia</w:t>
      </w:r>
    </w:p>
    <w:p>
      <w:pPr>
        <w:spacing w:after="120" w:line="360"/>
        <w:jc w:val="both"/>
      </w:pPr>
      <w:r>
        <w:rPr>
          <w:rFonts w:ascii="Times New Roman" w:cs="Times New Roman" w:eastAsia="Times New Roman" w:hAnsi="Times New Roman"/>
          <w:b w:val="false"/>
          <w:bCs w:val="false"/>
          <w:i w:val="false"/>
          <w:iCs w:val="false"/>
        </w:rPr>
        <w:t xml:space="preserve">Recomendação: </w:t>
      </w:r>
      <w:r>
        <w:rPr>
          <w:rFonts w:ascii="Times New Roman" w:cs="Times New Roman" w:eastAsia="Times New Roman" w:hAnsi="Times New Roman"/>
          <w:b/>
          <w:bCs/>
          <w:i w:val="false"/>
          <w:iCs w:val="false"/>
        </w:rPr>
        <w:t xml:space="preserve">(i) defender 20% pela preclusão da conta homologada e pela sentença dos embargos</w:t>
      </w:r>
      <w:r>
        <w:rPr>
          <w:rFonts w:ascii="Times New Roman" w:cs="Times New Roman" w:eastAsia="Times New Roman" w:hAnsi="Times New Roman"/>
          <w:b w:val="false"/>
          <w:bCs w:val="false"/>
          <w:i w:val="false"/>
          <w:iCs w:val="false"/>
        </w:rPr>
        <w:t xml:space="preserve">, com juntada das peças, e </w:t>
      </w:r>
      <w:r>
        <w:rPr>
          <w:rFonts w:ascii="Times New Roman" w:cs="Times New Roman" w:eastAsia="Times New Roman" w:hAnsi="Times New Roman"/>
          <w:b/>
          <w:bCs/>
          <w:i w:val="false"/>
          <w:iCs w:val="false"/>
        </w:rPr>
        <w:t xml:space="preserve">(ii) pedir subsidiariamente</w:t>
      </w:r>
      <w:r>
        <w:rPr>
          <w:rFonts w:ascii="Times New Roman" w:cs="Times New Roman" w:eastAsia="Times New Roman" w:hAnsi="Times New Roman"/>
          <w:b w:val="false"/>
          <w:bCs w:val="false"/>
          <w:i w:val="false"/>
          <w:iCs w:val="false"/>
        </w:rPr>
        <w:t xml:space="preserve"> a manutenção dos 10% contratuais "sobre o montante do débito" (cláusula 5, § único; inicial), </w:t>
      </w:r>
      <w:r>
        <w:rPr>
          <w:rFonts w:ascii="Times New Roman" w:cs="Times New Roman" w:eastAsia="Times New Roman" w:hAnsi="Times New Roman"/>
          <w:b/>
          <w:bCs/>
          <w:i w:val="false"/>
          <w:iCs w:val="false"/>
        </w:rPr>
        <w:t xml:space="preserve">nunca</w:t>
      </w:r>
      <w:r>
        <w:rPr>
          <w:rFonts w:ascii="Times New Roman" w:cs="Times New Roman" w:eastAsia="Times New Roman" w:hAnsi="Times New Roman"/>
          <w:b w:val="false"/>
          <w:bCs w:val="false"/>
          <w:i w:val="false"/>
          <w:iCs w:val="false"/>
        </w:rPr>
        <w:t xml:space="preserve"> "10% sobre o valor da causa" (que reduziria a verba a poucas dezenas de milhares de reais). Silenciar (iii) é pior: o executado já colocou o tema na origem (fls. 3444) e a Relatora lê os autos.</w:t>
      </w:r>
    </w:p>
    <w:p>
      <w:pPr>
        <w:spacing w:after="120" w:line="360"/>
        <w:jc w:val="both"/>
      </w:pPr>
      <w:r>
        <w:rPr>
          <w:rFonts w:ascii="Times New Roman" w:cs="Times New Roman" w:eastAsia="Times New Roman" w:hAnsi="Times New Roman"/>
          <w:b w:val="false"/>
          <w:bCs w:val="false"/>
          <w:i w:val="false"/>
          <w:iCs w:val="false"/>
        </w:rPr>
        <w:t xml:space="preserve">Sobre fls. 52: o agravo afirmou 20% "expressamente". A folha é ilegível e três documentos coevos dizem 10%. Há risco real de arguição do art. 80, II. Retificar nos memoriais ("por cautela, registra-se que o algarismo de fls. 52 é de difícil leitura; a fonte dos 20% é a sentença dos embargos, como o próprio executado admitiu a fls. 1419/1421").</w:t>
      </w:r>
    </w:p>
    <w:p>
      <w:pPr>
        <w:pStyle w:val="Heading2"/>
        <w:keepNext/>
      </w:pPr>
      <w:r>
        <w:rPr>
          <w:rFonts w:ascii="Times New Roman" w:cs="Times New Roman" w:eastAsia="Times New Roman" w:hAnsi="Times New Roman"/>
        </w:rPr>
        <w:t xml:space="preserve">B6. Habilitação de fls. 138/139 física</w:t>
      </w:r>
    </w:p>
    <w:p>
      <w:pPr>
        <w:spacing w:after="120" w:line="360"/>
        <w:jc w:val="both"/>
      </w:pPr>
      <w:r>
        <w:rPr>
          <w:rFonts w:ascii="Times New Roman" w:cs="Times New Roman" w:eastAsia="Times New Roman" w:hAnsi="Times New Roman"/>
          <w:b w:val="false"/>
          <w:bCs w:val="false"/>
          <w:i w:val="false"/>
          <w:iCs w:val="false"/>
        </w:rPr>
        <w:t xml:space="preserve">🟨 fls. 202 e-SAJ / 151 física (Banespa, 08/11/1995): "informar que nada tem a opor com relação ao pedido de habilitação de credito feito às fls. 138/139 destes autos". A decisão de fls. 203 identifica: "defiro a habilitação pleiteada a fls. 138/139, pelo Banco Bradesco S/A, aguardando-se futura arrematação do bem penhorado". A decisão de fls. 3038 localiza a petição em </w:t>
      </w:r>
      <w:r>
        <w:rPr>
          <w:rFonts w:ascii="Times New Roman" w:cs="Times New Roman" w:eastAsia="Times New Roman" w:hAnsi="Times New Roman"/>
          <w:b/>
          <w:bCs/>
          <w:i w:val="false"/>
          <w:iCs w:val="false"/>
        </w:rPr>
        <w:t xml:space="preserve">fls. 185/186 e-SAJ</w:t>
      </w:r>
      <w:r>
        <w:rPr>
          <w:rFonts w:ascii="Times New Roman" w:cs="Times New Roman" w:eastAsia="Times New Roman" w:hAnsi="Times New Roman"/>
          <w:b w:val="false"/>
          <w:bCs w:val="false"/>
          <w:i w:val="false"/>
          <w:iCs w:val="false"/>
        </w:rPr>
        <w:t xml:space="preserve">. Não li a petição (fora dos arquivos abertos). Relação com honorários: nenhuma. Relevância: o Bradesco é credor habilitado (crédito de R$ 995.037,18 conforme fls. 3282) e concorrerá no produto da arrematação.</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BLOCO C — ENCARGOS DA CÉDULA INDUSTRIAL</w:t>
      </w:r>
    </w:p>
    <w:p>
      <w:pPr>
        <w:pStyle w:val="Heading2"/>
        <w:keepNext/>
      </w:pPr>
      <w:r>
        <w:rPr>
          <w:rFonts w:ascii="Times New Roman" w:cs="Times New Roman" w:eastAsia="Times New Roman" w:hAnsi="Times New Roman"/>
        </w:rPr>
        <w:t xml:space="preserve">C1. Mora de 1% ao mês x 1% ao ano</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Ponto fraco real.</w:t>
      </w:r>
      <w:r>
        <w:rPr>
          <w:rFonts w:ascii="Times New Roman" w:cs="Times New Roman" w:eastAsia="Times New Roman" w:hAnsi="Times New Roman"/>
          <w:b w:val="false"/>
          <w:bCs w:val="false"/>
          <w:i w:val="false"/>
          <w:iCs w:val="false"/>
        </w:rPr>
        <w:t xml:space="preserve"> Cláusula 5 (fls. 39 / 12): "acrescida da mora de 1% ao mês e da multa de 10% sobre o débito em aberto". DL 413/69, art. 5º, parágrafo único: "Em caso de mora, a taxa de juros constante da cédula será elevável de 1% (um por cento) ao ano." A conta de 1995 aplicou "JUROS MORA 1% a.m." capitalizado mensalmente. Impacto aproximado (recomposição das oito primeiras linhas, feita ontem): retirar o fator 1,01 mensal e substituí-lo por 1,000833 ao longo de 99 meses reduz o saldo de 08/95 em ordem de grandeza de </w:t>
      </w:r>
      <w:r>
        <w:rPr>
          <w:rFonts w:ascii="Times New Roman" w:cs="Times New Roman" w:eastAsia="Times New Roman" w:hAnsi="Times New Roman"/>
          <w:b/>
          <w:bCs/>
          <w:i w:val="false"/>
          <w:iCs w:val="false"/>
        </w:rPr>
        <w:t xml:space="preserve">1,01^99 / 1,000833^99 ≈ 2,68 / 1,086 ≈ 2,5 vezes</w:t>
      </w:r>
      <w:r>
        <w:rPr>
          <w:rFonts w:ascii="Times New Roman" w:cs="Times New Roman" w:eastAsia="Times New Roman" w:hAnsi="Times New Roman"/>
          <w:b w:val="false"/>
          <w:bCs w:val="false"/>
          <w:i w:val="false"/>
          <w:iCs w:val="false"/>
        </w:rPr>
        <w:t xml:space="preserve"> (estimativa; a exata exige refazer a planilha). O executado pode dizer que ~60% do saldo de 1995 é mora ilegal capitalizada. Defesa: preclusão (critério, não erro material; AgInt no REsp 2.127.021) e o fato de o Banespa ter pedido, e o juízo homologado, exatamente esses encargos (fls. 174/175 → 203), sem que o devedor, citado (fls. 54/55), impugnasse.</w:t>
      </w:r>
    </w:p>
    <w:p>
      <w:pPr>
        <w:pStyle w:val="Heading2"/>
        <w:keepNext/>
      </w:pPr>
      <w:r>
        <w:rPr>
          <w:rFonts w:ascii="Times New Roman" w:cs="Times New Roman" w:eastAsia="Times New Roman" w:hAnsi="Times New Roman"/>
        </w:rPr>
        <w:t xml:space="preserve">C2. Capitalização mensal</w:t>
      </w:r>
    </w:p>
    <w:p>
      <w:pPr>
        <w:spacing w:after="120" w:line="360"/>
        <w:jc w:val="both"/>
      </w:pPr>
      <w:r>
        <w:rPr>
          <w:rFonts w:ascii="Times New Roman" w:cs="Times New Roman" w:eastAsia="Times New Roman" w:hAnsi="Times New Roman"/>
          <w:b w:val="false"/>
          <w:bCs w:val="false"/>
          <w:i w:val="false"/>
          <w:iCs w:val="false"/>
        </w:rPr>
        <w:t xml:space="preserve">🟩 A conta capitaliza </w:t>
      </w:r>
      <w:r>
        <w:rPr>
          <w:rFonts w:ascii="Times New Roman" w:cs="Times New Roman" w:eastAsia="Times New Roman" w:hAnsi="Times New Roman"/>
          <w:b/>
          <w:bCs/>
          <w:i w:val="false"/>
          <w:iCs w:val="false"/>
        </w:rPr>
        <w:t xml:space="preserve">mensalmente</w:t>
      </w:r>
      <w:r>
        <w:rPr>
          <w:rFonts w:ascii="Times New Roman" w:cs="Times New Roman" w:eastAsia="Times New Roman" w:hAnsi="Times New Roman"/>
          <w:b w:val="false"/>
          <w:bCs w:val="false"/>
          <w:i w:val="false"/>
          <w:iCs w:val="false"/>
        </w:rPr>
        <w:t xml:space="preserve"> (o saldo de cada mês é base do seguinte: 05/87 Cz$ 1.210.000,00 → 06/87 1.510.976,97 → 07/87 1.647.489,69 → 08/87 1.854.034,86; recomposição fecha com 57,18% a.a. nominal /12 + 1% a.m. + C.M.). O Banespa pedira </w:t>
      </w:r>
      <w:r>
        <w:rPr>
          <w:rFonts w:ascii="Times New Roman" w:cs="Times New Roman" w:eastAsia="Times New Roman" w:hAnsi="Times New Roman"/>
          <w:b/>
          <w:bCs/>
          <w:i w:val="false"/>
          <w:iCs w:val="false"/>
        </w:rPr>
        <w:t xml:space="preserve">semestral</w:t>
      </w:r>
      <w:r>
        <w:rPr>
          <w:rFonts w:ascii="Times New Roman" w:cs="Times New Roman" w:eastAsia="Times New Roman" w:hAnsi="Times New Roman"/>
          <w:b w:val="false"/>
          <w:bCs w:val="false"/>
          <w:i w:val="false"/>
          <w:iCs w:val="false"/>
        </w:rPr>
        <w:t xml:space="preserve"> (fls. 175 / 130: "Os juros devem ser capitalizados semestralmente por se tratar de Cédula de Crédito Industrial"). A cédula, cláusula 3, diz que os encargos são "exigíveis (…) ao final de cada mês e no vencimento", e o DL 413/69 admite capitalização em "outras datas convencionadas no título" (art. 5º) e "facultará ao financiador a capitalização dos juros" na inadimplência (art. 11, § 2º). Súmula 93/STJ e REsp 31.025/RS (4ª T., Sálvio de Figueiredo, 17/02/1993: "Lícito se mostra pactuar, em cédula de crédito industrial, capitalização mensal de juros") sustentam a periodicidade mensal pactuada. O executado dirá que "exigível" não é "capitalizável"; resposta: art. 11, § 2º, DL 413 + preclusão.</w:t>
      </w:r>
    </w:p>
    <w:p>
      <w:pPr>
        <w:pStyle w:val="Heading2"/>
        <w:keepNext/>
      </w:pPr>
      <w:r>
        <w:rPr>
          <w:rFonts w:ascii="Times New Roman" w:cs="Times New Roman" w:eastAsia="Times New Roman" w:hAnsi="Times New Roman"/>
        </w:rPr>
        <w:t xml:space="preserve">C3. "Maior taxa vigente no início de cada mês"</w:t>
      </w:r>
    </w:p>
    <w:p>
      <w:pPr>
        <w:spacing w:after="120" w:line="360"/>
        <w:jc w:val="both"/>
      </w:pPr>
      <w:r>
        <w:rPr>
          <w:rFonts w:ascii="Times New Roman" w:cs="Times New Roman" w:eastAsia="Times New Roman" w:hAnsi="Times New Roman"/>
          <w:b w:val="false"/>
          <w:bCs w:val="false"/>
          <w:i w:val="false"/>
          <w:iCs w:val="false"/>
        </w:rPr>
        <w:t xml:space="preserve">🟨 Cláusula 5: "maior taxa de encargos pós-fixados vigorante no início de cada mês". É cláusula de taxa flutuante referida às LBC ("rendimento nominal das Letras do Banco Central – taxa fiscal, acrescida da taxa efetiva de juros de 45,00% ao ano", campo 11). A Súmula 176/STJ (nulidade da taxa divulgada pela ANBID/CETIP) é analogia possível, mas a conta de 1995 usou 57,18% a.a. fixos (não a "maior taxa"), o que enfraquece a analogia. De todo modo, é critério </w:t>
      </w:r>
      <w:r>
        <w:rPr>
          <w:rFonts w:ascii="Times New Roman" w:cs="Times New Roman" w:eastAsia="Times New Roman" w:hAnsi="Times New Roman"/>
          <w:b/>
          <w:bCs/>
          <w:i w:val="false"/>
          <w:iCs w:val="false"/>
        </w:rPr>
        <w:t xml:space="preserve">coberto pela preclusão de 1995</w:t>
      </w:r>
      <w:r>
        <w:rPr>
          <w:rFonts w:ascii="Times New Roman" w:cs="Times New Roman" w:eastAsia="Times New Roman" w:hAnsi="Times New Roman"/>
          <w:b w:val="false"/>
          <w:bCs w:val="false"/>
          <w:i w:val="false"/>
          <w:iCs w:val="false"/>
        </w:rPr>
        <w:t xml:space="preserve">. Não trazer o tema; só responder se a contraminuta o suscitar.</w:t>
      </w:r>
    </w:p>
    <w:p>
      <w:pPr>
        <w:pStyle w:val="Heading2"/>
        <w:keepNext/>
      </w:pPr>
      <w:r>
        <w:rPr>
          <w:rFonts w:ascii="Times New Roman" w:cs="Times New Roman" w:eastAsia="Times New Roman" w:hAnsi="Times New Roman"/>
        </w:rPr>
        <w:t xml:space="preserve">C4. Cessão e encargos</w:t>
      </w:r>
    </w:p>
    <w:p>
      <w:pPr>
        <w:spacing w:after="120" w:line="360"/>
        <w:jc w:val="both"/>
      </w:pPr>
      <w:r>
        <w:rPr>
          <w:rFonts w:ascii="Times New Roman" w:cs="Times New Roman" w:eastAsia="Times New Roman" w:hAnsi="Times New Roman"/>
          <w:b w:val="false"/>
          <w:bCs w:val="false"/>
          <w:i w:val="false"/>
          <w:iCs w:val="false"/>
        </w:rPr>
        <w:t xml:space="preserve">🟩 REsp 1.984.424/SP (3ª T., Villas Bôas Cueva, 23/08/2022, trânsito 20/09/2022) trata de </w:t>
      </w:r>
      <w:r>
        <w:rPr>
          <w:rFonts w:ascii="Times New Roman" w:cs="Times New Roman" w:eastAsia="Times New Roman" w:hAnsi="Times New Roman"/>
          <w:b/>
          <w:bCs/>
          <w:i w:val="false"/>
          <w:iCs w:val="false"/>
        </w:rPr>
        <w:t xml:space="preserve">Cédula de Crédito Bancário</w:t>
      </w:r>
      <w:r>
        <w:rPr>
          <w:rFonts w:ascii="Times New Roman" w:cs="Times New Roman" w:eastAsia="Times New Roman" w:hAnsi="Times New Roman"/>
          <w:b w:val="false"/>
          <w:bCs w:val="false"/>
          <w:i w:val="false"/>
          <w:iCs w:val="false"/>
        </w:rPr>
        <w:t xml:space="preserve"> (art. 29, § 1º, Lei 10.931/04), mas a ementa funda-se também no </w:t>
      </w:r>
      <w:r>
        <w:rPr>
          <w:rFonts w:ascii="Times New Roman" w:cs="Times New Roman" w:eastAsia="Times New Roman" w:hAnsi="Times New Roman"/>
          <w:b/>
          <w:bCs/>
          <w:i w:val="false"/>
          <w:iCs w:val="false"/>
        </w:rPr>
        <w:t xml:space="preserve">art. 893 do CC</w:t>
      </w:r>
      <w:r>
        <w:rPr>
          <w:rFonts w:ascii="Times New Roman" w:cs="Times New Roman" w:eastAsia="Times New Roman" w:hAnsi="Times New Roman"/>
          <w:b w:val="false"/>
          <w:bCs w:val="false"/>
          <w:i w:val="false"/>
          <w:iCs w:val="false"/>
        </w:rPr>
        <w:t xml:space="preserve"> ("a transferência do título de crédito implica a de todos os direitos que lhe são inerentes") e no </w:t>
      </w:r>
      <w:r>
        <w:rPr>
          <w:rFonts w:ascii="Times New Roman" w:cs="Times New Roman" w:eastAsia="Times New Roman" w:hAnsi="Times New Roman"/>
          <w:b/>
          <w:bCs/>
          <w:i w:val="false"/>
          <w:iCs w:val="false"/>
        </w:rPr>
        <w:t xml:space="preserve">Tema 361/STF</w:t>
      </w:r>
      <w:r>
        <w:rPr>
          <w:rFonts w:ascii="Times New Roman" w:cs="Times New Roman" w:eastAsia="Times New Roman" w:hAnsi="Times New Roman"/>
          <w:b w:val="false"/>
          <w:bCs w:val="false"/>
          <w:i w:val="false"/>
          <w:iCs w:val="false"/>
        </w:rPr>
        <w:t xml:space="preserve"> (RE 631.537: cessão não altera a natureza do crédito), fundamentos que valem para a cédula industrial (título de crédito, art. 10 DL 413; direito cambial, art. 52). Somam-se arts. 286 e 287 CC (acessórios) e art. 778, § 1º, III, CPC (cessionário promove a execução).</w:t>
      </w:r>
    </w:p>
    <w:p>
      <w:pPr>
        <w:spacing w:after="120" w:line="360"/>
        <w:jc w:val="both"/>
      </w:pPr>
      <w:r>
        <w:rPr>
          <w:rFonts w:ascii="Times New Roman" w:cs="Times New Roman" w:eastAsia="Times New Roman" w:hAnsi="Times New Roman"/>
          <w:b w:val="false"/>
          <w:bCs w:val="false"/>
          <w:i w:val="false"/>
          <w:iCs w:val="false"/>
        </w:rPr>
        <w:t xml:space="preserve">Contrário: 🟥 </w:t>
      </w:r>
      <w:r>
        <w:rPr>
          <w:rFonts w:ascii="Times New Roman" w:cs="Times New Roman" w:eastAsia="Times New Roman" w:hAnsi="Times New Roman"/>
          <w:b/>
          <w:bCs/>
          <w:i w:val="false"/>
          <w:iCs w:val="false"/>
        </w:rPr>
        <w:t xml:space="preserve">o arquivo "Registro 2021-0000902160 NAO PODE COBRAR JUROS…" diz o oposto do título.</w:t>
      </w:r>
      <w:r>
        <w:rPr>
          <w:rFonts w:ascii="Times New Roman" w:cs="Times New Roman" w:eastAsia="Times New Roman" w:hAnsi="Times New Roman"/>
          <w:b w:val="false"/>
          <w:bCs w:val="false"/>
          <w:i w:val="false"/>
          <w:iCs w:val="false"/>
        </w:rPr>
        <w:t xml:space="preserve"> É o AI 2065526-45.2021.8.26.0000 (23ª CDP, j. 20/10/2021, </w:t>
      </w:r>
      <w:r>
        <w:rPr>
          <w:rFonts w:ascii="Times New Roman" w:cs="Times New Roman" w:eastAsia="Times New Roman" w:hAnsi="Times New Roman"/>
          <w:b/>
          <w:bCs/>
          <w:i w:val="false"/>
          <w:iCs w:val="false"/>
        </w:rPr>
        <w:t xml:space="preserve">por maioria</w:t>
      </w:r>
      <w:r>
        <w:rPr>
          <w:rFonts w:ascii="Times New Roman" w:cs="Times New Roman" w:eastAsia="Times New Roman" w:hAnsi="Times New Roman"/>
          <w:b w:val="false"/>
          <w:bCs w:val="false"/>
          <w:i w:val="false"/>
          <w:iCs w:val="false"/>
        </w:rPr>
        <w:t xml:space="preserve">, acórdão do Des. Marcos Gozzo): a maioria decidiu que o cessionário </w:t>
      </w:r>
      <w:r>
        <w:rPr>
          <w:rFonts w:ascii="Times New Roman" w:cs="Times New Roman" w:eastAsia="Times New Roman" w:hAnsi="Times New Roman"/>
          <w:b/>
          <w:bCs/>
          <w:i w:val="false"/>
          <w:iCs w:val="false"/>
        </w:rPr>
        <w:t xml:space="preserve">PODE</w:t>
      </w:r>
      <w:r>
        <w:rPr>
          <w:rFonts w:ascii="Times New Roman" w:cs="Times New Roman" w:eastAsia="Times New Roman" w:hAnsi="Times New Roman"/>
          <w:b w:val="false"/>
          <w:bCs w:val="false"/>
          <w:i w:val="false"/>
          <w:iCs w:val="false"/>
        </w:rPr>
        <w:t xml:space="preserve"> cobrar os encargos da cédula. A tese "não pode" está só no </w:t>
      </w:r>
      <w:r>
        <w:rPr>
          <w:rFonts w:ascii="Times New Roman" w:cs="Times New Roman" w:eastAsia="Times New Roman" w:hAnsi="Times New Roman"/>
          <w:b/>
          <w:bCs/>
          <w:i w:val="false"/>
          <w:iCs w:val="false"/>
        </w:rPr>
        <w:t xml:space="preserve">voto vencido</w:t>
      </w:r>
      <w:r>
        <w:rPr>
          <w:rFonts w:ascii="Times New Roman" w:cs="Times New Roman" w:eastAsia="Times New Roman" w:hAnsi="Times New Roman"/>
          <w:b w:val="false"/>
          <w:bCs w:val="false"/>
          <w:i w:val="false"/>
          <w:iCs w:val="false"/>
        </w:rPr>
        <w:t xml:space="preserve"> (Des. Virgílio de Oliveira Junior). Não citar como contrário; citar como favorável, com a ressalva de que é CCB e por maioria. Os precedentes citados na decisão de fls. 3042/3043 (13ª CDP, Ap. 1040981-64.2018, Rel. Francisco Giaquinto, 27/01/2021; 11ª CDP, AI 9006440-44.2009; 24ª CDP, EDcl 2140987-28.2018) dizem que o cessionário civil não cobra encargos bancários após a cessão — e o Des. Giaquinto integra a 13ª CDP. </w:t>
      </w:r>
      <w:r>
        <w:rPr>
          <w:rFonts w:ascii="Times New Roman" w:cs="Times New Roman" w:eastAsia="Times New Roman" w:hAnsi="Times New Roman"/>
          <w:b/>
          <w:bCs/>
          <w:i w:val="false"/>
          <w:iCs w:val="false"/>
        </w:rPr>
        <w:t xml:space="preserve">Risco alto se os memoriais insistirem em encargos pós-cessão.</w:t>
      </w:r>
      <w:r>
        <w:rPr>
          <w:rFonts w:ascii="Times New Roman" w:cs="Times New Roman" w:eastAsia="Times New Roman" w:hAnsi="Times New Roman"/>
          <w:b w:val="false"/>
          <w:bCs w:val="false"/>
          <w:i w:val="false"/>
          <w:iCs w:val="false"/>
        </w:rPr>
        <w:t xml:space="preserve"> Mas os exequentes não cobram encargos bancários pós-1995 (fls. 3043), de modo que o tema só importa para a fase 1987-1995, quando o credor era o Banespa.</w:t>
      </w:r>
    </w:p>
    <w:p>
      <w:pPr>
        <w:pStyle w:val="Heading2"/>
        <w:keepNext/>
      </w:pPr>
      <w:r>
        <w:rPr>
          <w:rFonts w:ascii="Times New Roman" w:cs="Times New Roman" w:eastAsia="Times New Roman" w:hAnsi="Times New Roman"/>
        </w:rPr>
        <w:t xml:space="preserve">C5. Proporcionalidade</w:t>
      </w:r>
    </w:p>
    <w:p>
      <w:pPr>
        <w:spacing w:after="120" w:line="360"/>
        <w:jc w:val="both"/>
      </w:pPr>
      <w:r>
        <w:rPr>
          <w:rFonts w:ascii="Times New Roman" w:cs="Times New Roman" w:eastAsia="Times New Roman" w:hAnsi="Times New Roman"/>
          <w:b w:val="false"/>
          <w:bCs w:val="false"/>
          <w:i w:val="false"/>
          <w:iCs w:val="false"/>
        </w:rPr>
        <w:t xml:space="preserve">🟨 Números literais nos autos: cessão por R$ 200.000,00 (31/03/2010, fls. 655/660 e-SAJ / 537/542 física); Santander 2007: R$ 859.100,93; Santander 2009: R$ 1.016.558,82; cessionários 2011: R$ 1.140.030,51; 2019: R$ 2.226.488,29; 19/04/2024: R$ 3.262.747,35; 04/06/2025: R$ 3.870.274,56; parecer Fred 25/03/2026: R$ 185.096.002,92; executado 08/2026: R$ 2.911.270,42; imóvel: R$ 10.310.000,00 (set/2021) → R$ 12.833.936,57 (nov/2025).</w:t>
      </w:r>
    </w:p>
    <w:p>
      <w:pPr>
        <w:spacing w:after="120" w:line="360"/>
        <w:jc w:val="both"/>
      </w:pPr>
      <w:r>
        <w:rPr>
          <w:rFonts w:ascii="Times New Roman" w:cs="Times New Roman" w:eastAsia="Times New Roman" w:hAnsi="Times New Roman"/>
          <w:b w:val="false"/>
          <w:bCs w:val="false"/>
          <w:i w:val="false"/>
          <w:iCs w:val="false"/>
        </w:rPr>
        <w:t xml:space="preserve">A Relatora, que no AI 2236642 chamou de "expressivo" o valor de fls. 3055 (R$ 4 milhões) para reduzir a multa, tenderá a ver R$ 185 milhões como desproporcional, ainda mais quando o Santander, em 2007, disse que "por mera liberalidade" abandonava a conta de 1995 e calculava R$ 859 mil. </w:t>
      </w:r>
      <w:r>
        <w:rPr>
          <w:rFonts w:ascii="Times New Roman" w:cs="Times New Roman" w:eastAsia="Times New Roman" w:hAnsi="Times New Roman"/>
          <w:b/>
          <w:bCs/>
          <w:i w:val="false"/>
          <w:iCs w:val="false"/>
        </w:rPr>
        <w:t xml:space="preserve">Pedido principal recomendado:</w:t>
      </w:r>
      <w:r>
        <w:rPr>
          <w:rFonts w:ascii="Times New Roman" w:cs="Times New Roman" w:eastAsia="Times New Roman" w:hAnsi="Times New Roman"/>
          <w:b w:val="false"/>
          <w:bCs w:val="false"/>
          <w:i w:val="false"/>
          <w:iCs w:val="false"/>
        </w:rPr>
        <w:t xml:space="preserve"> reconhecimento da base de 1995 com remessa à origem para liquidação (perícia) — não a homologação de R$ 185 milhões. </w:t>
      </w:r>
      <w:r>
        <w:rPr>
          <w:rFonts w:ascii="Times New Roman" w:cs="Times New Roman" w:eastAsia="Times New Roman" w:hAnsi="Times New Roman"/>
          <w:b/>
          <w:bCs/>
          <w:i w:val="false"/>
          <w:iCs w:val="false"/>
        </w:rPr>
        <w:t xml:space="preserve">Subsidiário:</w:t>
      </w:r>
      <w:r>
        <w:rPr>
          <w:rFonts w:ascii="Times New Roman" w:cs="Times New Roman" w:eastAsia="Times New Roman" w:hAnsi="Times New Roman"/>
          <w:b w:val="false"/>
          <w:bCs w:val="false"/>
          <w:i w:val="false"/>
          <w:iCs w:val="false"/>
        </w:rPr>
        <w:t xml:space="preserve"> que a perícia parta do saldo de 1995 com juros simples e sem capitalização posterior. Como ordem de grandeza, a só correção do saldo de 1995 mais multa e honorários dá cerca de R$ 44 milhões (mar/2026), valor que já supera em muito o imóvel; o excedente do produto da arrematação nunca chegará aos credores. Diga isso à Câmara: a disputa real é se o produto do leilão (R$ 12,8 milhões) será integralmente dos credores ou se sobrará "troco" ao devedor.</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BLOCO D — AUDITORIA DAS CITAÇÕES DO AGRAVO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054"/>
        <w:gridCol w:w="893"/>
        <w:gridCol w:w="4124"/>
      </w:tblGrid>
      <w:tr>
        <w:trPr>
          <w:cantSplit/>
          <w:tblHeader/>
        </w:trPr>
        <w:tc>
          <w:tcPr>
            <w:tcW w:type="dxa" w:w="405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Citação no agravo</w:t>
            </w:r>
          </w:p>
        </w:tc>
        <w:tc>
          <w:tcPr>
            <w:tcW w:type="dxa" w:w="89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Sinal</w:t>
            </w:r>
          </w:p>
        </w:tc>
        <w:tc>
          <w:tcPr>
            <w:tcW w:type="dxa" w:w="412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Verificação</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1.861.550/DF, Og Fernandes, 2ª T.</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Existe; j. 16/06/2020, DJe 04/08/2020; ementa fiel; contexto: Fazenda Pública/RE 870.947, título judicial. Favorável por analogia</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AREsp 2.569.822/DF, Marco Buzzi, 29/05/2024</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Decisão monocrática de </w:t>
            </w:r>
            <w:r>
              <w:rPr>
                <w:rFonts w:ascii="Times New Roman" w:cs="Times New Roman" w:eastAsia="Times New Roman" w:hAnsi="Times New Roman"/>
                <w:b/>
                <w:bCs/>
                <w:i w:val="false"/>
                <w:iCs w:val="false"/>
                <w:sz w:val="19"/>
                <w:szCs w:val="19"/>
              </w:rPr>
              <w:t xml:space="preserve">não conhecimento</w:t>
            </w:r>
            <w:r>
              <w:rPr>
                <w:rFonts w:ascii="Times New Roman" w:cs="Times New Roman" w:eastAsia="Times New Roman" w:hAnsi="Times New Roman"/>
                <w:b w:val="false"/>
                <w:bCs w:val="false"/>
                <w:i w:val="false"/>
                <w:iCs w:val="false"/>
                <w:sz w:val="19"/>
                <w:szCs w:val="19"/>
              </w:rPr>
              <w:t xml:space="preserve"> (Súmulas 5 e 7); AgInt desprovido em 23/09/2024; trânsito 17/10/2024. A frase sobre art. 114 CC é do </w:t>
            </w:r>
            <w:r>
              <w:rPr>
                <w:rFonts w:ascii="Times New Roman" w:cs="Times New Roman" w:eastAsia="Times New Roman" w:hAnsi="Times New Roman"/>
                <w:b/>
                <w:bCs/>
                <w:i w:val="false"/>
                <w:iCs w:val="false"/>
                <w:sz w:val="19"/>
                <w:szCs w:val="19"/>
              </w:rPr>
              <w:t xml:space="preserve">TJDFT</w:t>
            </w:r>
            <w:r>
              <w:rPr>
                <w:rFonts w:ascii="Times New Roman" w:cs="Times New Roman" w:eastAsia="Times New Roman" w:hAnsi="Times New Roman"/>
                <w:b w:val="false"/>
                <w:bCs w:val="false"/>
                <w:i w:val="false"/>
                <w:iCs w:val="false"/>
                <w:sz w:val="19"/>
                <w:szCs w:val="19"/>
              </w:rPr>
              <w:t xml:space="preserve"> transcrito. Citar como "decisão que manteve acórdão do TJDFT" ou retirar</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2123223-58.2020, Rebello Pinho, 20ª CDP, 24/08/2020</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dois gumes</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Existe; frase fiel (item 5.2). Mas a Câmara </w:t>
            </w:r>
            <w:r>
              <w:rPr>
                <w:rFonts w:ascii="Times New Roman" w:cs="Times New Roman" w:eastAsia="Times New Roman" w:hAnsi="Times New Roman"/>
                <w:b/>
                <w:bCs/>
                <w:i w:val="false"/>
                <w:iCs w:val="false"/>
                <w:sz w:val="19"/>
                <w:szCs w:val="19"/>
              </w:rPr>
              <w:t xml:space="preserve">reduziu a conta do credor</w:t>
            </w:r>
            <w:r>
              <w:rPr>
                <w:rFonts w:ascii="Times New Roman" w:cs="Times New Roman" w:eastAsia="Times New Roman" w:hAnsi="Times New Roman"/>
                <w:b w:val="false"/>
                <w:bCs w:val="false"/>
                <w:i w:val="false"/>
                <w:iCs w:val="false"/>
                <w:sz w:val="19"/>
                <w:szCs w:val="19"/>
              </w:rPr>
              <w:t xml:space="preserve">, rejeitou preclusão e condenou o credor em honorários. A contraminuta pode virar o precedente. Manter só com a frase e o contexto explicado, ou substituir</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1.256.633/RS, Noronha, 22/06/2011</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Decisão monocrática</w:t>
            </w:r>
            <w:r>
              <w:rPr>
                <w:rFonts w:ascii="Times New Roman" w:cs="Times New Roman" w:eastAsia="Times New Roman" w:hAnsi="Times New Roman"/>
                <w:b w:val="false"/>
                <w:bCs w:val="false"/>
                <w:i w:val="false"/>
                <w:iCs w:val="false"/>
                <w:sz w:val="19"/>
                <w:szCs w:val="19"/>
              </w:rPr>
              <w:t xml:space="preserve">; título judicial. Indicar "decisão monocrática"</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256.832/CE, Edson Vidigal, DJ 11/09/2000</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5ª Turma, j. 15/08/2000; ementa fiel; título judicial; útil pela fé pública da Contadoria e pela "concordância tácita" da parte que, com vista, silenciou</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1.984.424/SP, Cueva, 3ª T., 23/08/2022</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Fiel; CCB; art. 893 CC e Tema 361/STF. Ver C4</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AREsp 43.936/RJ, Cueva</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Decisão monocrática</w:t>
            </w:r>
            <w:r>
              <w:rPr>
                <w:rFonts w:ascii="Times New Roman" w:cs="Times New Roman" w:eastAsia="Times New Roman" w:hAnsi="Times New Roman"/>
                <w:b w:val="false"/>
                <w:bCs w:val="false"/>
                <w:i w:val="false"/>
                <w:iCs w:val="false"/>
                <w:sz w:val="19"/>
                <w:szCs w:val="19"/>
              </w:rPr>
              <w:t xml:space="preserve"> (06/05/2014, DJe 16/05/2014); o AgRg (3ª T., 10/06/2014) não está na pasta. Frase fiel. Dois gumes: fidelidade ao título judicial</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AREsp 1.122.847/SP, Raul Araújo</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Correto é </w:t>
            </w:r>
            <w:r>
              <w:rPr>
                <w:rFonts w:ascii="Times New Roman" w:cs="Times New Roman" w:eastAsia="Times New Roman" w:hAnsi="Times New Roman"/>
                <w:b/>
                <w:bCs/>
                <w:i w:val="false"/>
                <w:iCs w:val="false"/>
                <w:sz w:val="19"/>
                <w:szCs w:val="19"/>
              </w:rPr>
              <w:t xml:space="preserve">AgInt nos EDcl no AREsp 1.122.847/SP</w:t>
            </w:r>
            <w:r>
              <w:rPr>
                <w:rFonts w:ascii="Times New Roman" w:cs="Times New Roman" w:eastAsia="Times New Roman" w:hAnsi="Times New Roman"/>
                <w:b w:val="false"/>
                <w:bCs w:val="false"/>
                <w:i w:val="false"/>
                <w:iCs w:val="false"/>
                <w:sz w:val="19"/>
                <w:szCs w:val="19"/>
              </w:rPr>
              <w:t xml:space="preserve">, 4ª T., 10/10/2023, DJe 27/10/2023. A frase citada é do AgRg no AREsp 43.936 transcrito. O STJ ali </w:t>
            </w:r>
            <w:r>
              <w:rPr>
                <w:rFonts w:ascii="Times New Roman" w:cs="Times New Roman" w:eastAsia="Times New Roman" w:hAnsi="Times New Roman"/>
                <w:b/>
                <w:bCs/>
                <w:i w:val="false"/>
                <w:iCs w:val="false"/>
                <w:sz w:val="19"/>
                <w:szCs w:val="19"/>
              </w:rPr>
              <w:t xml:space="preserve">expurgou capitalização de laudo homologado</w:t>
            </w:r>
            <w:r>
              <w:rPr>
                <w:rFonts w:ascii="Times New Roman" w:cs="Times New Roman" w:eastAsia="Times New Roman" w:hAnsi="Times New Roman"/>
                <w:b w:val="false"/>
                <w:bCs w:val="false"/>
                <w:i w:val="false"/>
                <w:iCs w:val="false"/>
                <w:sz w:val="19"/>
                <w:szCs w:val="19"/>
              </w:rPr>
              <w:t xml:space="preserve"> por falta de previsão no título judicial: dois gumes</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Súmula 93/STJ, Súmula 596/STF, DL 413/69 art. 5º</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Fiéis. Art. 5º, parágrafo único, limita a mora a +1% a.a. (ver C1)</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Súmula 254/STF</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Sentença omissa quanto a juros; fora de contexto em execução extrajudicial. Substituir por art. 397 CC + art. 5º DL 413</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Súmula 121/STF</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Citada para afastá-la; ok</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508 CPC; art. 337, § 5º</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Ver A3</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509, § 4º</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Analogia</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1.062 CC/16; art. 406 CC</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Corretos. Nota: REsp 1.795.982/SP (Corte Especial, 21/08/2024, DJe 23/10/2024) fixou </w:t>
            </w:r>
            <w:r>
              <w:rPr>
                <w:rFonts w:ascii="Times New Roman" w:cs="Times New Roman" w:eastAsia="Times New Roman" w:hAnsi="Times New Roman"/>
                <w:b/>
                <w:bCs/>
                <w:i w:val="false"/>
                <w:iCs w:val="false"/>
                <w:sz w:val="19"/>
                <w:szCs w:val="19"/>
              </w:rPr>
              <w:t xml:space="preserve">SELIC</w:t>
            </w:r>
            <w:r>
              <w:rPr>
                <w:rFonts w:ascii="Times New Roman" w:cs="Times New Roman" w:eastAsia="Times New Roman" w:hAnsi="Times New Roman"/>
                <w:b w:val="false"/>
                <w:bCs w:val="false"/>
                <w:i w:val="false"/>
                <w:iCs w:val="false"/>
                <w:sz w:val="19"/>
                <w:szCs w:val="19"/>
              </w:rPr>
              <w:t xml:space="preserve"> como taxa do art. 406 na redação anterior à Lei 14.905/24; não suscitar</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"eproc" (preparo)</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 TJSP usa e-SAJ; o preparo foi recolhido em dobro em 28/07/2026 (duas guias). Sem certidão de regularidade no Drive</w:t>
            </w:r>
          </w:p>
        </w:tc>
      </w:tr>
      <w:tr>
        <w:trPr>
          <w:cantSplit/>
          <w:tblHeader w:val="false"/>
        </w:trPr>
        <w:tc>
          <w:tcPr>
            <w:tcW w:type="dxa" w:w="405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AREsp 2.500.976/PR e AgInt no REsp 2.127.021/DF</w:t>
            </w:r>
          </w:p>
        </w:tc>
        <w:tc>
          <w:tcPr>
            <w:tcW w:type="dxa" w:w="8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412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Não estão no agravo.</w:t>
            </w:r>
            <w:r>
              <w:rPr>
                <w:rFonts w:ascii="Times New Roman" w:cs="Times New Roman" w:eastAsia="Times New Roman" w:hAnsi="Times New Roman"/>
                <w:b w:val="false"/>
                <w:bCs w:val="false"/>
                <w:i w:val="false"/>
                <w:iCs w:val="false"/>
                <w:sz w:val="19"/>
                <w:szCs w:val="19"/>
              </w:rPr>
              <w:t xml:space="preserve"> Ambos verificados e favoráveis; usar nos memoriais</w:t>
            </w:r>
          </w:p>
        </w:tc>
      </w:tr>
    </w:tbl>
    <w:p>
      <w:pPr>
        <w:spacing w:after="120"/>
      </w:pPr>
    </w:p>
    <w:p>
      <w:pPr>
        <w:pStyle w:val="Heading2"/>
        <w:keepNext/>
      </w:pPr>
      <w:r>
        <w:rPr>
          <w:rFonts w:ascii="Times New Roman" w:cs="Times New Roman" w:eastAsia="Times New Roman" w:hAnsi="Times New Roman"/>
        </w:rPr>
        <w:t xml:space="preserve">D2. Substitutos mais fortes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60"/>
        <w:gridCol w:w="5611"/>
      </w:tblGrid>
      <w:tr>
        <w:trPr>
          <w:cantSplit/>
          <w:tblHeader/>
        </w:trPr>
        <w:tc>
          <w:tcPr>
            <w:tcW w:type="dxa" w:w="346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Citação vulnerável</w:t>
            </w:r>
          </w:p>
        </w:tc>
        <w:tc>
          <w:tcPr>
            <w:tcW w:type="dxa" w:w="561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Substituto (na pasta)</w:t>
            </w:r>
          </w:p>
        </w:tc>
      </w:tr>
      <w:tr>
        <w:trPr>
          <w:cantSplit/>
          <w:tblHeader w:val="false"/>
        </w:trPr>
        <w:tc>
          <w:tcPr>
            <w:tcW w:type="dxa" w:w="34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AREsp 2.569.822/DF (renúncia)</w:t>
            </w:r>
          </w:p>
        </w:tc>
        <w:tc>
          <w:tcPr>
            <w:tcW w:type="dxa" w:w="56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2.018.575/PR (3ª T., Nancy Andrighi, 12/09/2023, DJe 28/09/2023): ato praticado "em cumprimento à decisão jurisdicional (art. 77, IV)" não é aquiescência; "havendo dúvida acerca da anuência (…) prosseguimento do julgamento do recurso"</w:t>
            </w:r>
          </w:p>
        </w:tc>
      </w:tr>
      <w:tr>
        <w:trPr>
          <w:cantSplit/>
          <w:tblHeader w:val="false"/>
        </w:trPr>
        <w:tc>
          <w:tcPr>
            <w:tcW w:type="dxa" w:w="34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2123223-58.2020</w:t>
            </w:r>
          </w:p>
        </w:tc>
        <w:tc>
          <w:tcPr>
            <w:tcW w:type="dxa" w:w="56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2250267-55.2023 (19ª CDP, Tabosa Pessoa, 11/12/2023) e AI 2401202-39.2025 (7ª CDP, Pastorelo Kfouri, 30/04/2026): preclusão de homologação não recorrida, com multa ao devedor</w:t>
            </w:r>
          </w:p>
        </w:tc>
      </w:tr>
      <w:tr>
        <w:trPr>
          <w:cantSplit/>
          <w:tblHeader w:val="false"/>
        </w:trPr>
        <w:tc>
          <w:tcPr>
            <w:tcW w:type="dxa" w:w="34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1.256.633/RS (monocrática)</w:t>
            </w:r>
          </w:p>
        </w:tc>
        <w:tc>
          <w:tcPr>
            <w:tcW w:type="dxa" w:w="56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REsp 2.127.021/DF (3ª T., Humberto Martins, 19/08/2024): execução de título extrajudicial; conta da Contadoria homologada; critério ≠ erro material</w:t>
            </w:r>
          </w:p>
        </w:tc>
      </w:tr>
      <w:tr>
        <w:trPr>
          <w:cantSplit/>
          <w:tblHeader w:val="false"/>
        </w:trPr>
        <w:tc>
          <w:tcPr>
            <w:tcW w:type="dxa" w:w="34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AREsp 43.936 / 1.122.847 (dois gumes)</w:t>
            </w:r>
          </w:p>
        </w:tc>
        <w:tc>
          <w:tcPr>
            <w:tcW w:type="dxa" w:w="56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EDcl no REsp 1.229.406/SP (1ª T., 16/02/2012) + EREsp 1.229.406/SP (Noronha, 05/08/2014): conta homologada não se revê para expurgar anatocismo, "independentemente do acerto ou desacerto dos critérios"</w:t>
            </w:r>
          </w:p>
        </w:tc>
      </w:tr>
      <w:tr>
        <w:trPr>
          <w:cantSplit/>
          <w:tblHeader w:val="false"/>
        </w:trPr>
        <w:tc>
          <w:tcPr>
            <w:tcW w:type="dxa" w:w="34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Súmula 254/STF</w:t>
            </w:r>
          </w:p>
        </w:tc>
        <w:tc>
          <w:tcPr>
            <w:tcW w:type="dxa" w:w="56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AREsp 2.500.976/PR (4ª T., Noronha, 10/03/2026, DJEN 12/03/2026): concordância com conta homologada em execução extrajudicial bancária gera preclusão lógica</w:t>
            </w:r>
          </w:p>
        </w:tc>
      </w:tr>
    </w:tbl>
    <w:p>
      <w:pPr>
        <w:spacing w:after="120"/>
      </w:pP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BLOCO E — COERÊNCIA DA 13ª CDP / RELATORA</w:t>
      </w:r>
    </w:p>
    <w:p>
      <w:pPr>
        <w:pStyle w:val="Heading2"/>
        <w:keepNext/>
      </w:pPr>
      <w:r>
        <w:rPr>
          <w:rFonts w:ascii="Times New Roman" w:cs="Times New Roman" w:eastAsia="Times New Roman" w:hAnsi="Times New Roman"/>
        </w:rPr>
        <w:t xml:space="preserve">E1. Os três acórdãos</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AI 2236655-84.2022</w:t>
      </w:r>
      <w:r>
        <w:rPr>
          <w:rFonts w:ascii="Times New Roman" w:cs="Times New Roman" w:eastAsia="Times New Roman" w:hAnsi="Times New Roman"/>
          <w:b w:val="false"/>
          <w:bCs w:val="false"/>
          <w:i w:val="false"/>
          <w:iCs w:val="false"/>
        </w:rPr>
        <w:t xml:space="preserve"> (j. 05/12/2022, v.u., com Heraldo de Oliveira e Francisco Giaquinto; Registro 2022.0000998636): só avaliação; "a mera discrepância entre avaliações não autoriza, por si só, a realização de uma nova avaliação". Certidão de encaminhamento ao arquivo com "comunicação do trânsito em julgado": fls. 1931 e-SAJ (CP 394), datada de </w:t>
      </w:r>
      <w:r>
        <w:rPr>
          <w:rFonts w:ascii="Times New Roman" w:cs="Times New Roman" w:eastAsia="Times New Roman" w:hAnsi="Times New Roman"/>
          <w:b/>
          <w:bCs/>
          <w:i w:val="false"/>
          <w:iCs w:val="false"/>
        </w:rPr>
        <w:t xml:space="preserve">29/02/2024</w:t>
      </w:r>
      <w:r>
        <w:rPr>
          <w:rFonts w:ascii="Times New Roman" w:cs="Times New Roman" w:eastAsia="Times New Roman" w:hAnsi="Times New Roman"/>
          <w:b w:val="false"/>
          <w:bCs w:val="false"/>
          <w:i w:val="false"/>
          <w:iCs w:val="false"/>
        </w:rPr>
        <w:t xml:space="preserve"> (a data do trânsito não consta). REsp do executado inadmitido pela Presidência da Seção (fls. 1757/1759 e-SAJ, Des. Beretta da Silveira, 05/05/2023, Súmula 7).</w:t>
      </w:r>
    </w:p>
    <w:p>
      <w:pPr>
        <w:spacing w:after="120" w:line="360"/>
        <w:jc w:val="both"/>
      </w:pPr>
      <w:r>
        <w:rPr>
          <w:rFonts w:ascii="Times New Roman" w:cs="Times New Roman" w:eastAsia="Times New Roman" w:hAnsi="Times New Roman"/>
          <w:b/>
          <w:bCs/>
          <w:i w:val="false"/>
          <w:iCs w:val="false"/>
        </w:rPr>
        <w:t xml:space="preserve">AI 2236642-80.2025</w:t>
      </w:r>
      <w:r>
        <w:rPr>
          <w:rFonts w:ascii="Times New Roman" w:cs="Times New Roman" w:eastAsia="Times New Roman" w:hAnsi="Times New Roman"/>
          <w:b w:val="false"/>
          <w:bCs w:val="false"/>
          <w:i w:val="false"/>
          <w:iCs w:val="false"/>
        </w:rPr>
        <w:t xml:space="preserve"> (j. 07/10/2025, v.u., Simões de Almeida, Giaquinto, Nelson Jorge Júnior; Registro 2025.0001067531): trechos úteis: "a única tese ali deduzida"; "indevida inovação"; "supressão de um grau de jurisdição"; "mantida, no mais". Contra: "o percentual de 9% do valor da execução se mostra excessivo, considerando-se o expressivo valor executado (fls. 3.055)" (R$ 4 milhões já era "expressivo"); e o acórdão </w:t>
      </w:r>
      <w:r>
        <w:rPr>
          <w:rFonts w:ascii="Times New Roman" w:cs="Times New Roman" w:eastAsia="Times New Roman" w:hAnsi="Times New Roman"/>
          <w:b/>
          <w:bCs/>
          <w:i w:val="false"/>
          <w:iCs w:val="false"/>
        </w:rPr>
        <w:t xml:space="preserve">não</w:t>
      </w:r>
      <w:r>
        <w:rPr>
          <w:rFonts w:ascii="Times New Roman" w:cs="Times New Roman" w:eastAsia="Times New Roman" w:hAnsi="Times New Roman"/>
          <w:b w:val="false"/>
          <w:bCs w:val="false"/>
          <w:i w:val="false"/>
          <w:iCs w:val="false"/>
        </w:rPr>
        <w:t xml:space="preserve"> julgou o mérito de multa/honorários, deixando-o "em aberto" para o executado dizer.</w:t>
      </w:r>
    </w:p>
    <w:p>
      <w:pPr>
        <w:spacing w:after="120" w:line="360"/>
        <w:jc w:val="both"/>
      </w:pPr>
      <w:r>
        <w:rPr>
          <w:rFonts w:ascii="Times New Roman" w:cs="Times New Roman" w:eastAsia="Times New Roman" w:hAnsi="Times New Roman"/>
          <w:b/>
          <w:bCs/>
          <w:i w:val="false"/>
          <w:iCs w:val="false"/>
        </w:rPr>
        <w:t xml:space="preserve">AI 2353386-61.2025</w:t>
      </w:r>
      <w:r>
        <w:rPr>
          <w:rFonts w:ascii="Times New Roman" w:cs="Times New Roman" w:eastAsia="Times New Roman" w:hAnsi="Times New Roman"/>
          <w:b w:val="false"/>
          <w:bCs w:val="false"/>
          <w:i w:val="false"/>
          <w:iCs w:val="false"/>
        </w:rPr>
        <w:t xml:space="preserve"> (j. 04/03/2026, v.u., Heraldo de Oliveira e Giaquinto; Registro 2026.0000169763; fls. 3395/3403 e-SAJ): a Relatora adota a decisão de 1º grau ("As conclusões a que chega são exatamente as mesmas"), que diz: "A decisão de homologação (…) irrecorrível em seu mérito após o julgamento do agravo, encontra-se sob o manto da </w:t>
      </w:r>
      <w:r>
        <w:rPr>
          <w:rFonts w:ascii="Times New Roman" w:cs="Times New Roman" w:eastAsia="Times New Roman" w:hAnsi="Times New Roman"/>
          <w:b/>
          <w:bCs/>
          <w:i w:val="false"/>
          <w:iCs w:val="false"/>
        </w:rPr>
        <w:t xml:space="preserve">preclusão pro iudicato</w:t>
      </w:r>
      <w:r>
        <w:rPr>
          <w:rFonts w:ascii="Times New Roman" w:cs="Times New Roman" w:eastAsia="Times New Roman" w:hAnsi="Times New Roman"/>
          <w:b w:val="false"/>
          <w:bCs w:val="false"/>
          <w:i w:val="false"/>
          <w:iCs w:val="false"/>
        </w:rPr>
        <w:t xml:space="preserve">, não havendo espaço, neste momento de conclusão dos atos expropriatórios, para a reanálise de matéria já resolvida"; "a adoção de nova avaliação implicaria um </w:t>
      </w:r>
      <w:r>
        <w:rPr>
          <w:rFonts w:ascii="Times New Roman" w:cs="Times New Roman" w:eastAsia="Times New Roman" w:hAnsi="Times New Roman"/>
          <w:b/>
          <w:bCs/>
          <w:i w:val="false"/>
          <w:iCs w:val="false"/>
        </w:rPr>
        <w:t xml:space="preserve">retrocesso indevido</w:t>
      </w:r>
      <w:r>
        <w:rPr>
          <w:rFonts w:ascii="Times New Roman" w:cs="Times New Roman" w:eastAsia="Times New Roman" w:hAnsi="Times New Roman"/>
          <w:b w:val="false"/>
          <w:bCs w:val="false"/>
          <w:i w:val="false"/>
          <w:iCs w:val="false"/>
        </w:rPr>
        <w:t xml:space="preserve">, protelando injustificadamente o desfecho de um processo que caminha para quatro décadas"; "padrão de deslealdade processual". A expressão "</w:t>
      </w:r>
      <w:r>
        <w:rPr>
          <w:rFonts w:ascii="Times New Roman" w:cs="Times New Roman" w:eastAsia="Times New Roman" w:hAnsi="Times New Roman"/>
          <w:b/>
          <w:bCs/>
          <w:i w:val="false"/>
          <w:iCs w:val="false"/>
        </w:rPr>
        <w:t xml:space="preserve">devedor contumaz</w:t>
      </w:r>
      <w:r>
        <w:rPr>
          <w:rFonts w:ascii="Times New Roman" w:cs="Times New Roman" w:eastAsia="Times New Roman" w:hAnsi="Times New Roman"/>
          <w:b w:val="false"/>
          <w:bCs w:val="false"/>
          <w:i w:val="false"/>
          <w:iCs w:val="false"/>
        </w:rPr>
        <w:t xml:space="preserve">" é da decisão de Chavantes de 14/03/2024 (fls. 1932: "esgotando, assim, todos os recursos cabíveis em favor do devedor contumaz"), não do acórdão. 🟨 A última página do acórdão (multa de 5%) falta no arquivo.</w:t>
      </w:r>
    </w:p>
    <w:p>
      <w:pPr>
        <w:spacing w:after="120" w:line="360"/>
        <w:jc w:val="both"/>
      </w:pPr>
      <w:r>
        <w:rPr>
          <w:rFonts w:ascii="Times New Roman" w:cs="Times New Roman" w:eastAsia="Times New Roman" w:hAnsi="Times New Roman"/>
          <w:b w:val="false"/>
          <w:bCs w:val="false"/>
          <w:i w:val="false"/>
          <w:iCs w:val="false"/>
        </w:rPr>
        <w:t xml:space="preserve">Uso nos memoriais (art. 926): "A mesma Câmara que, há seis meses, disse que reabrir a avaliação homologada seria 'retrocesso indevido' sob 'o manto da preclusão pro iudicato', não pode admitir que se reabra, de ofício, a conta homologada trinta anos antes." Contra-uso pelo executado: a preclusão da avaliação foi reconhecida </w:t>
      </w:r>
      <w:r>
        <w:rPr>
          <w:rFonts w:ascii="Times New Roman" w:cs="Times New Roman" w:eastAsia="Times New Roman" w:hAnsi="Times New Roman"/>
          <w:b/>
          <w:bCs/>
          <w:i w:val="false"/>
          <w:iCs w:val="false"/>
        </w:rPr>
        <w:t xml:space="preserve">contra o devedor</w:t>
      </w:r>
      <w:r>
        <w:rPr>
          <w:rFonts w:ascii="Times New Roman" w:cs="Times New Roman" w:eastAsia="Times New Roman" w:hAnsi="Times New Roman"/>
          <w:b w:val="false"/>
          <w:bCs w:val="false"/>
          <w:i w:val="false"/>
          <w:iCs w:val="false"/>
        </w:rPr>
        <w:t xml:space="preserve">; ele dirá que preclusão vale para os dois lados (fls. 3066 não agravada pelos exequentes). É o risco central; responder com A2 e F1.</w:t>
      </w:r>
    </w:p>
    <w:p>
      <w:pPr>
        <w:pStyle w:val="Heading2"/>
        <w:keepNext/>
      </w:pPr>
      <w:r>
        <w:rPr>
          <w:rFonts w:ascii="Times New Roman" w:cs="Times New Roman" w:eastAsia="Times New Roman" w:hAnsi="Times New Roman"/>
        </w:rPr>
        <w:t xml:space="preserve">E2. Apelação 0017993-79.2012</w:t>
      </w:r>
    </w:p>
    <w:p>
      <w:pPr>
        <w:spacing w:after="120" w:line="360"/>
        <w:jc w:val="both"/>
      </w:pPr>
      <w:r>
        <w:rPr>
          <w:rFonts w:ascii="Times New Roman" w:cs="Times New Roman" w:eastAsia="Times New Roman" w:hAnsi="Times New Roman"/>
          <w:b w:val="false"/>
          <w:bCs w:val="false"/>
          <w:i w:val="false"/>
          <w:iCs w:val="false"/>
        </w:rPr>
        <w:t xml:space="preserve">🟨 Acórdão não está no Drive. Se a frase "reavaliação dos valores, tanto do débito, quanto do imóvel" existe, enquadrar como </w:t>
      </w:r>
      <w:r>
        <w:rPr>
          <w:rFonts w:ascii="Times New Roman" w:cs="Times New Roman" w:eastAsia="Times New Roman" w:hAnsi="Times New Roman"/>
          <w:b/>
          <w:bCs/>
          <w:i w:val="false"/>
          <w:iCs w:val="false"/>
        </w:rPr>
        <w:t xml:space="preserve">atualização para aferir excesso de penhora</w:t>
      </w:r>
      <w:r>
        <w:rPr>
          <w:rFonts w:ascii="Times New Roman" w:cs="Times New Roman" w:eastAsia="Times New Roman" w:hAnsi="Times New Roman"/>
          <w:b w:val="false"/>
          <w:bCs w:val="false"/>
          <w:i w:val="false"/>
          <w:iCs w:val="false"/>
        </w:rPr>
        <w:t xml:space="preserve"> (art. 874 CPC), distinta de recálculo da base. A decisão de 16/05/2012 (fls. 788/789) mostra que a discussão de 2012 era só redução de penhora.</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BLOCO F — CUMPRIR ORDEM NÃO É AQUIESCER; VENIRE</w:t>
      </w:r>
    </w:p>
    <w:p>
      <w:pPr>
        <w:pStyle w:val="Heading2"/>
        <w:keepNext/>
      </w:pPr>
      <w:r>
        <w:rPr>
          <w:rFonts w:ascii="Times New Roman" w:cs="Times New Roman" w:eastAsia="Times New Roman" w:hAnsi="Times New Roman"/>
        </w:rPr>
        <w:t xml:space="preserve">F1. Parágrafo-base</w:t>
      </w:r>
    </w:p>
    <w:p>
      <w:pPr>
        <w:spacing w:after="120" w:line="360"/>
        <w:jc w:val="both"/>
      </w:pPr>
      <w:r>
        <w:rPr>
          <w:rFonts w:ascii="Times New Roman" w:cs="Times New Roman" w:eastAsia="Times New Roman" w:hAnsi="Times New Roman"/>
          <w:b w:val="false"/>
          <w:bCs w:val="false"/>
          <w:i w:val="false"/>
          <w:iCs w:val="false"/>
        </w:rPr>
        <w:t xml:space="preserve">🟩 Precedentes conferidos: REsp 2.018.575/PR (3ª T., Nancy Andrighi, 12/09/2023, DJe 28/09/2023); EDcl no REsp 2.178.097/RS (4ª T., Raul Araújo, sessão 19-25/05/2026, DJEN 01/06/2026): "A baixa administrativa do gravame fiduciário, realizada sob o império de determinação judicial e cominação de multa, não importa aquiescência com a decisão recorrida"; REsp 1.655.655/SP (3ª T., Cueva, 25/06/2019, DJe 01/07/2019): "a aceitação tácita deve ser inequívoca"; "na dúvida, deve-se em qualquer hipótese considerar excluída a aquiescência tácita". 🟨 AgInt no AREsp 1.851.737/DF, AI 2181564-67.2026 e AI 2297076-69.2024: não estão na pasta; não citar até conferir.</w:t>
      </w:r>
    </w:p>
    <w:p>
      <w:pPr>
        <w:spacing w:after="120" w:line="360"/>
        <w:jc w:val="both"/>
      </w:pPr>
      <w:r>
        <w:rPr>
          <w:rFonts w:ascii="Times New Roman" w:cs="Times New Roman" w:eastAsia="Times New Roman" w:hAnsi="Times New Roman"/>
          <w:b w:val="false"/>
          <w:bCs w:val="false"/>
          <w:i w:val="false"/>
          <w:iCs w:val="false"/>
        </w:rPr>
        <w:t xml:space="preserve">Parágrafo-base:</w:t>
      </w:r>
    </w:p>
    <w:p>
      <w:pPr>
        <w:pBdr>
          <w:left w:val="single" w:color="C9A227" w:sz="18" w:space="8"/>
        </w:pBdr>
        <w:shd w:fill="FFF8E1" w:color="auto" w:val="clear"/>
        <w:spacing w:after="80" w:line="300"/>
        <w:ind w:left="567" w:right="283"/>
        <w:jc w:val="both"/>
      </w:pPr>
      <w:r>
        <w:rPr>
          <w:rFonts w:ascii="Times New Roman" w:cs="Times New Roman" w:eastAsia="Times New Roman" w:hAnsi="Times New Roman"/>
          <w:b w:val="false"/>
          <w:bCs w:val="false"/>
          <w:i w:val="false"/>
          <w:iCs w:val="false"/>
          <w:sz w:val="22"/>
          <w:szCs w:val="22"/>
        </w:rPr>
        <w:t xml:space="preserve">"As planilhas de fls. 1947/1948 (CP 410/411) e 3077/3078 foram apresentadas em cumprimento de ordens judiciais expressas (decisão de 14/03/2024, fls. 1932: 'tal diligência incumbe ao exequente, que ora se determina'; decisão de fls. 3066, item 2, com prazo de dez dias), sob a advertência de que a execução só prosseguiria com o cálculo. O art. 1.000, parágrafo único, do CPC exige, para a aceitação tácita, ato praticado 'sem nenhuma reserva' e 'incompatível com a vontade de recorrer'; o art. 520, § 3º, e o art. 77, IV, mostram que o cumprimento de decisão judicial é dever, não adesão. O STJ afasta a preclusão lógica quando o ato é praticado 'em cumprimento à decisão jurisdicional (art. 77, IV, do CPC/2015)', pois 'não representa conduta espontânea reveladora da aquiescência tácita inequívoca' (REsp 2.018.575/PR, 3ª T., Rel. Min. Nancy Andrighi, j. 12/09/2023), e reafirma que ato praticado 'sob o império de determinação judicial e cominação de multa não importa aquiescência' (EDcl no REsp 2.178.097/RS, 4ª T., Rel. Min. Raul Araújo, j. 25/05/2026); 'na dúvida, deve-se em qualquer hipótese considerar excluída a aquiescência tácita' (REsp 1.655.655/SP, 3ª T., Rel. Min. Villas Bôas Cueva, j. 25/06/2019)."</w:t>
      </w:r>
    </w:p>
    <w:p>
      <w:pPr>
        <w:spacing w:after="120"/>
      </w:pPr>
    </w:p>
    <w:p>
      <w:pPr>
        <w:spacing w:after="120" w:line="360"/>
        <w:jc w:val="both"/>
      </w:pPr>
      <w:r>
        <w:rPr>
          <w:rFonts w:ascii="Times New Roman" w:cs="Times New Roman" w:eastAsia="Times New Roman" w:hAnsi="Times New Roman"/>
          <w:b w:val="false"/>
          <w:bCs w:val="false"/>
          <w:i w:val="false"/>
          <w:iCs w:val="false"/>
        </w:rPr>
        <w:t xml:space="preserve">Contra: AgInt no REsp 1.476.534/CE ("valores incontroversos, sem ressalva alguma") e AgInt no AREsp 2.500.976/PR ("concordância expressa com a conta homologada"). Distinção: em ambos a parte apresentou valores </w:t>
      </w:r>
      <w:r>
        <w:rPr>
          <w:rFonts w:ascii="Times New Roman" w:cs="Times New Roman" w:eastAsia="Times New Roman" w:hAnsi="Times New Roman"/>
          <w:b/>
          <w:bCs/>
          <w:i w:val="false"/>
          <w:iCs w:val="false"/>
        </w:rPr>
        <w:t xml:space="preserve">espontaneamente</w:t>
      </w:r>
      <w:r>
        <w:rPr>
          <w:rFonts w:ascii="Times New Roman" w:cs="Times New Roman" w:eastAsia="Times New Roman" w:hAnsi="Times New Roman"/>
          <w:b w:val="false"/>
          <w:bCs w:val="false"/>
          <w:i w:val="false"/>
          <w:iCs w:val="false"/>
        </w:rPr>
        <w:t xml:space="preserve"> ou </w:t>
      </w:r>
      <w:r>
        <w:rPr>
          <w:rFonts w:ascii="Times New Roman" w:cs="Times New Roman" w:eastAsia="Times New Roman" w:hAnsi="Times New Roman"/>
          <w:b/>
          <w:bCs/>
          <w:i w:val="false"/>
          <w:iCs w:val="false"/>
        </w:rPr>
        <w:t xml:space="preserve">concordou expressamente</w:t>
      </w:r>
      <w:r>
        <w:rPr>
          <w:rFonts w:ascii="Times New Roman" w:cs="Times New Roman" w:eastAsia="Times New Roman" w:hAnsi="Times New Roman"/>
          <w:b w:val="false"/>
          <w:bCs w:val="false"/>
          <w:i w:val="false"/>
          <w:iCs w:val="false"/>
        </w:rPr>
        <w:t xml:space="preserve">; aqui houve ordem com prazo.</w:t>
      </w:r>
    </w:p>
    <w:p>
      <w:pPr>
        <w:pStyle w:val="Heading2"/>
        <w:keepNext/>
      </w:pPr>
      <w:r>
        <w:rPr>
          <w:rFonts w:ascii="Times New Roman" w:cs="Times New Roman" w:eastAsia="Times New Roman" w:hAnsi="Times New Roman"/>
        </w:rPr>
        <w:t xml:space="preserve">F2. Venire: as planilhas desde 1987</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Este é o ponto mais perigoso do caso, e a premissa do prompt está errada.</w:t>
      </w:r>
      <w:r>
        <w:rPr>
          <w:rFonts w:ascii="Times New Roman" w:cs="Times New Roman" w:eastAsia="Times New Roman" w:hAnsi="Times New Roman"/>
          <w:b w:val="false"/>
          <w:bCs w:val="false"/>
          <w:i w:val="false"/>
          <w:iCs w:val="false"/>
        </w:rPr>
        <w:t xml:space="preserve"> Não é verdade que "a base dos exequentes sempre foi a conta de fls. 203". As planilhas lidas, </w:t>
      </w:r>
      <w:r>
        <w:rPr>
          <w:rFonts w:ascii="Times New Roman" w:cs="Times New Roman" w:eastAsia="Times New Roman" w:hAnsi="Times New Roman"/>
          <w:b/>
          <w:bCs/>
          <w:i w:val="false"/>
          <w:iCs w:val="false"/>
        </w:rPr>
        <w:t xml:space="preserve">todas</w:t>
      </w:r>
      <w:r>
        <w:rPr>
          <w:rFonts w:ascii="Times New Roman" w:cs="Times New Roman" w:eastAsia="Times New Roman" w:hAnsi="Times New Roman"/>
          <w:b w:val="false"/>
          <w:bCs w:val="false"/>
          <w:i w:val="false"/>
          <w:iCs w:val="false"/>
        </w:rPr>
        <w:t xml:space="preserve">, partem de Cz$ 1.210.000,00 em maio/1987: Santander 12/09/2007 (fls. 2137/2139), que declarou: "inobstante a existência de decisão homologada nos autos principais (…) para evitar quaisquer tipos de discussões quanto ao valor do débito, </w:t>
      </w:r>
      <w:r>
        <w:rPr>
          <w:rFonts w:ascii="Times New Roman" w:cs="Times New Roman" w:eastAsia="Times New Roman" w:hAnsi="Times New Roman"/>
          <w:b/>
          <w:bCs/>
          <w:i w:val="false"/>
          <w:iCs w:val="false"/>
        </w:rPr>
        <w:t xml:space="preserve">por mera liberalidade, optou o credor</w:t>
      </w:r>
      <w:r>
        <w:rPr>
          <w:rFonts w:ascii="Times New Roman" w:cs="Times New Roman" w:eastAsia="Times New Roman" w:hAnsi="Times New Roman"/>
          <w:b w:val="false"/>
          <w:bCs w:val="false"/>
          <w:i w:val="false"/>
          <w:iCs w:val="false"/>
        </w:rPr>
        <w:t xml:space="preserve"> por apresentar (…) Valor do título Cz$ 1.210.000,00, corrigido monetariamente, acrescido de juros de 12% a.a., juros moratórios de 1% a.a., calculados de forma simples, multa contratual de 10% (…) e honorários advocatícios fixados nos Embargos à Execução no importe de 20% (…) R$ 859.100,93"; Santander 10/07/2009 (fls. 2402/2403); cessionários 25/10/2019 (fls. 2885), 19/04/2024 (fls. 1948), 04/06/2025 (fls. 3078). As de 18/03/2024 e 14/05/2025 partem do total anterior. A única invocação da base de 1995 antes de 2026 é a resposta à exceção de 16/09/2024 (fls. 1538: "a partir dos valores constantes da homologação judicial de fls. 203"), sem planilha correspondente. A decisão de fls. 3041 registra isso: "Após, não houve apresentação de nova conta de atualização do débito com homologação deste Juízo."</w:t>
      </w:r>
    </w:p>
    <w:p>
      <w:pPr>
        <w:spacing w:after="120" w:line="360"/>
        <w:jc w:val="both"/>
      </w:pPr>
      <w:r>
        <w:rPr>
          <w:rFonts w:ascii="Times New Roman" w:cs="Times New Roman" w:eastAsia="Times New Roman" w:hAnsi="Times New Roman"/>
          <w:b w:val="false"/>
          <w:bCs w:val="false"/>
          <w:i w:val="false"/>
          <w:iCs w:val="false"/>
        </w:rPr>
        <w:t xml:space="preserve">O executado dirá: por dezenove anos (2007-2026) o credor e seus cessionários calcularam desde 1987; a cessão foi por R$ 200 mil quando o próprio Santander dizia dever R$ 859 mil a R$ 1 milhão; invocar R$ 185 milhões em 2026 é </w:t>
      </w:r>
      <w:r>
        <w:rPr>
          <w:rFonts w:ascii="Times New Roman" w:cs="Times New Roman" w:eastAsia="Times New Roman" w:hAnsi="Times New Roman"/>
          <w:b w:val="false"/>
          <w:bCs w:val="false"/>
          <w:i/>
          <w:iCs/>
        </w:rPr>
        <w:t xml:space="preserve">venire contra factum proprium</w:t>
      </w:r>
      <w:r>
        <w:rPr>
          <w:rFonts w:ascii="Times New Roman" w:cs="Times New Roman" w:eastAsia="Times New Roman" w:hAnsi="Times New Roman"/>
          <w:b w:val="false"/>
          <w:bCs w:val="false"/>
          <w:i w:val="false"/>
          <w:iCs w:val="false"/>
        </w:rPr>
        <w:t xml:space="preserve"> e </w:t>
      </w:r>
      <w:r>
        <w:rPr>
          <w:rFonts w:ascii="Times New Roman" w:cs="Times New Roman" w:eastAsia="Times New Roman" w:hAnsi="Times New Roman"/>
          <w:b w:val="false"/>
          <w:bCs w:val="false"/>
          <w:i/>
          <w:iCs/>
        </w:rPr>
        <w:t xml:space="preserve">supressio</w:t>
      </w:r>
      <w:r>
        <w:rPr>
          <w:rFonts w:ascii="Times New Roman" w:cs="Times New Roman" w:eastAsia="Times New Roman" w:hAnsi="Times New Roman"/>
          <w:b w:val="false"/>
          <w:bCs w:val="false"/>
          <w:i w:val="false"/>
          <w:iCs w:val="false"/>
        </w:rPr>
        <w:t xml:space="preserve">.</w:t>
      </w:r>
    </w:p>
    <w:p>
      <w:pPr>
        <w:spacing w:after="120" w:line="360"/>
        <w:jc w:val="both"/>
      </w:pPr>
      <w:r>
        <w:rPr>
          <w:rFonts w:ascii="Times New Roman" w:cs="Times New Roman" w:eastAsia="Times New Roman" w:hAnsi="Times New Roman"/>
          <w:b w:val="false"/>
          <w:bCs w:val="false"/>
          <w:i w:val="false"/>
          <w:iCs w:val="false"/>
        </w:rPr>
        <w:t xml:space="preserve">Resposta possível (não perfeita): (a) "mera liberalidade" do cedente é exatamente o que diz o Santander: renúncia parcial, não desconstituição da homologação; renúncia interpreta-se estritamente (art. 114 CC) e não foi homologada (art. 487, III, "c"); (b) a cessão transferiu "o crédito descrito e caracterizado na cláusula primeira e respectivos acessórios" (cláusula 2ª), sem limitar ao valor das planilhas; (c) nenhuma dessas planilhas foi homologada; a única homologação é a de 1995 (fls. 3041 do próprio juízo); (d) o executado também se comportou de forma contraditória: em 2024 admitiu os 20% e o trânsito dos embargos, e agora nega. </w:t>
      </w:r>
      <w:r>
        <w:rPr>
          <w:rFonts w:ascii="Times New Roman" w:cs="Times New Roman" w:eastAsia="Times New Roman" w:hAnsi="Times New Roman"/>
          <w:b/>
          <w:bCs/>
          <w:i w:val="false"/>
          <w:iCs w:val="false"/>
        </w:rPr>
        <w:t xml:space="preserve">Mas</w:t>
      </w:r>
      <w:r>
        <w:rPr>
          <w:rFonts w:ascii="Times New Roman" w:cs="Times New Roman" w:eastAsia="Times New Roman" w:hAnsi="Times New Roman"/>
          <w:b w:val="false"/>
          <w:bCs w:val="false"/>
          <w:i w:val="false"/>
          <w:iCs w:val="false"/>
        </w:rPr>
        <w:t xml:space="preserve"> a Câmara pode entender que a apresentação reiterada de planilhas desde 1987, sem ressalva, por 19 anos, configura preclusão lógica (AgInt no REsp 1.476.534/CE) ou renúncia tácita ao excedente. Os memoriais precisam enfrentar isso de frente; ignorar é o pior caminho.</w:t>
      </w:r>
    </w:p>
    <w:p>
      <w:pPr>
        <w:spacing w:after="120" w:line="360"/>
        <w:jc w:val="both"/>
      </w:pPr>
      <w:r>
        <w:rPr>
          <w:rFonts w:ascii="Times New Roman" w:cs="Times New Roman" w:eastAsia="Times New Roman" w:hAnsi="Times New Roman"/>
          <w:b/>
          <w:bCs/>
          <w:i w:val="false"/>
          <w:iCs w:val="false"/>
        </w:rPr>
        <w:t xml:space="preserve">O que fazer nos memoriais:</w:t>
      </w:r>
      <w:r>
        <w:rPr>
          <w:rFonts w:ascii="Times New Roman" w:cs="Times New Roman" w:eastAsia="Times New Roman" w:hAnsi="Times New Roman"/>
          <w:b w:val="false"/>
          <w:bCs w:val="false"/>
          <w:i w:val="false"/>
          <w:iCs w:val="false"/>
        </w:rPr>
        <w:t xml:space="preserve"> admitir a sequência de planilhas, explicar a "liberalidade" do Santander, e reduzir o pedido: reconhecer a base de 1995 </w:t>
      </w:r>
      <w:r>
        <w:rPr>
          <w:rFonts w:ascii="Times New Roman" w:cs="Times New Roman" w:eastAsia="Times New Roman" w:hAnsi="Times New Roman"/>
          <w:b/>
          <w:bCs/>
          <w:i w:val="false"/>
          <w:iCs w:val="false"/>
        </w:rPr>
        <w:t xml:space="preserve">como piso da liquidação</w:t>
      </w:r>
      <w:r>
        <w:rPr>
          <w:rFonts w:ascii="Times New Roman" w:cs="Times New Roman" w:eastAsia="Times New Roman" w:hAnsi="Times New Roman"/>
          <w:b w:val="false"/>
          <w:bCs w:val="false"/>
          <w:i w:val="false"/>
          <w:iCs w:val="false"/>
        </w:rPr>
        <w:t xml:space="preserve"> e remeter à perícia; abandonar a homologação dos R$ 185 milhões no agravo.</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BLOCO G — O QUE PODE SER FEITO AGORA</w:t>
      </w:r>
    </w:p>
    <w:p>
      <w:pPr>
        <w:pStyle w:val="Heading2"/>
        <w:keepNext/>
      </w:pPr>
      <w:r>
        <w:rPr>
          <w:rFonts w:ascii="Times New Roman" w:cs="Times New Roman" w:eastAsia="Times New Roman" w:hAnsi="Times New Roman"/>
        </w:rPr>
        <w:t xml:space="preserve">G1. Atos cabíveis (fase: concluso à Relatora desde 26/08/2026)</w:t>
      </w:r>
    </w:p>
    <w:p>
      <w:pPr>
        <w:spacing w:after="120" w:line="360"/>
        <w:jc w:val="both"/>
      </w:pPr>
      <w:r>
        <w:rPr>
          <w:rFonts w:ascii="Times New Roman" w:cs="Times New Roman" w:eastAsia="Times New Roman" w:hAnsi="Times New Roman"/>
          <w:b w:val="false"/>
          <w:bCs w:val="false"/>
          <w:i w:val="false"/>
          <w:iCs w:val="false"/>
        </w:rPr>
        <w:t xml:space="preserve">🟨 Fundamentos legais conferidos no CPC; Resolução 549/2011 e RITJSP não estão na pasta (afirmo de memória, a confirmar).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2418"/>
        <w:gridCol w:w="2418"/>
        <w:gridCol w:w="2421"/>
      </w:tblGrid>
      <w:tr>
        <w:trPr>
          <w:cantSplit/>
          <w:tblHeader/>
        </w:trPr>
        <w:tc>
          <w:tcPr>
            <w:tcW w:type="dxa" w:w="181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Ato</w:t>
            </w:r>
          </w:p>
        </w:tc>
        <w:tc>
          <w:tcPr>
            <w:tcW w:type="dxa" w:w="241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Fundamento</w:t>
            </w:r>
          </w:p>
        </w:tc>
        <w:tc>
          <w:tcPr>
            <w:tcW w:type="dxa" w:w="241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Prazo</w:t>
            </w:r>
          </w:p>
        </w:tc>
        <w:tc>
          <w:tcPr>
            <w:tcW w:type="dxa" w:w="242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Observação</w:t>
            </w:r>
          </w:p>
        </w:tc>
      </w:tr>
      <w:tr>
        <w:trPr>
          <w:cantSplit/>
          <w:tblHeader w:val="false"/>
        </w:trPr>
        <w:tc>
          <w:tcPr>
            <w:tcW w:type="dxa" w:w="18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Memoriais</w:t>
            </w:r>
          </w:p>
        </w:tc>
        <w:tc>
          <w:tcPr>
            <w:tcW w:type="dxa" w:w="24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prática forense; art. 5º, LV, CF; RITJSP (a confirmar)</w:t>
            </w:r>
          </w:p>
        </w:tc>
        <w:tc>
          <w:tcPr>
            <w:tcW w:type="dxa" w:w="24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qualquer tempo antes do julgamento</w:t>
            </w:r>
          </w:p>
        </w:tc>
        <w:tc>
          <w:tcPr>
            <w:tcW w:type="dxa" w:w="242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Nome técnico: "Memoriais" ou "Petição de memoriais com juntada de documentos"</w:t>
            </w:r>
          </w:p>
        </w:tc>
      </w:tr>
      <w:tr>
        <w:trPr>
          <w:cantSplit/>
          <w:tblHeader w:val="false"/>
        </w:trPr>
        <w:tc>
          <w:tcPr>
            <w:tcW w:type="dxa" w:w="18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Juntada de documentos novos</w:t>
            </w:r>
          </w:p>
        </w:tc>
        <w:tc>
          <w:tcPr>
            <w:tcW w:type="dxa" w:w="24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435, caput e parágrafo único; art. 1.017, § 5º (por analogia)</w:t>
            </w:r>
          </w:p>
        </w:tc>
        <w:tc>
          <w:tcPr>
            <w:tcW w:type="dxa" w:w="24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qualquer tempo, com contraditório (art. 437, § 1º: 15 dias)</w:t>
            </w:r>
          </w:p>
        </w:tc>
        <w:tc>
          <w:tcPr>
            <w:tcW w:type="dxa" w:w="242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Documentos "preexistentes" só se justificada a juntada tardia (art. 435, p.u.). As cópias da sentença dos embargos, de fls. 1419/1421, 1483, 2137/2139 já estão nos autos de origem: são "peças facultativas" (art. 1.017, II), cuja juntada tardia o STJ admite até o julgamento</w:t>
            </w:r>
          </w:p>
        </w:tc>
      </w:tr>
      <w:tr>
        <w:trPr>
          <w:cantSplit/>
          <w:tblHeader w:val="false"/>
        </w:trPr>
        <w:tc>
          <w:tcPr>
            <w:tcW w:type="dxa" w:w="18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Fato superveniente</w:t>
            </w:r>
          </w:p>
        </w:tc>
        <w:tc>
          <w:tcPr>
            <w:tcW w:type="dxa" w:w="24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493</w:t>
            </w:r>
          </w:p>
        </w:tc>
        <w:tc>
          <w:tcPr>
            <w:tcW w:type="dxa" w:w="24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idem</w:t>
            </w:r>
          </w:p>
        </w:tc>
        <w:tc>
          <w:tcPr>
            <w:tcW w:type="dxa" w:w="242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Ex.: planilha e petição do executado de 20/08/2026 (fls. 3441/3459)</w:t>
            </w:r>
          </w:p>
        </w:tc>
      </w:tr>
      <w:tr>
        <w:trPr>
          <w:cantSplit/>
          <w:tblHeader w:val="false"/>
        </w:trPr>
        <w:tc>
          <w:tcPr>
            <w:tcW w:type="dxa" w:w="18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Manifestação sobre documentos da contraminuta</w:t>
            </w:r>
          </w:p>
        </w:tc>
        <w:tc>
          <w:tcPr>
            <w:tcW w:type="dxa" w:w="24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437, § 1º</w:t>
            </w:r>
          </w:p>
        </w:tc>
        <w:tc>
          <w:tcPr>
            <w:tcW w:type="dxa" w:w="24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 dias da intimação</w:t>
            </w:r>
          </w:p>
        </w:tc>
        <w:tc>
          <w:tcPr>
            <w:tcW w:type="dxa" w:w="242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Verificar se a contraminuta juntou documentos</w:t>
            </w:r>
          </w:p>
        </w:tc>
      </w:tr>
      <w:tr>
        <w:trPr>
          <w:cantSplit/>
          <w:tblHeader w:val="false"/>
        </w:trPr>
        <w:tc>
          <w:tcPr>
            <w:tcW w:type="dxa" w:w="18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Oposição ao julgamento virtual</w:t>
            </w:r>
          </w:p>
        </w:tc>
        <w:tc>
          <w:tcPr>
            <w:tcW w:type="dxa" w:w="24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 TJSP 549/2011 (a confirmar) e art. 6º da Res. CNJ 591/2024</w:t>
            </w:r>
          </w:p>
        </w:tc>
        <w:tc>
          <w:tcPr>
            <w:tcW w:type="dxa" w:w="24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prazo fixado na intimação de inclusão em sessão virtual (em regra 5 dias)</w:t>
            </w:r>
          </w:p>
        </w:tc>
        <w:tc>
          <w:tcPr>
            <w:tcW w:type="dxa" w:w="242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Efeito: retira da sessão virtual e remete à presencial/telepresencial</w:t>
            </w:r>
          </w:p>
        </w:tc>
      </w:tr>
      <w:tr>
        <w:trPr>
          <w:cantSplit/>
          <w:tblHeader w:val="false"/>
        </w:trPr>
        <w:tc>
          <w:tcPr>
            <w:tcW w:type="dxa" w:w="18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Sustentação oral</w:t>
            </w:r>
          </w:p>
        </w:tc>
        <w:tc>
          <w:tcPr>
            <w:tcW w:type="dxa" w:w="24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937, VIII, CPC</w:t>
            </w:r>
          </w:p>
        </w:tc>
        <w:tc>
          <w:tcPr>
            <w:tcW w:type="dxa" w:w="24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42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Só em agravo contra decisão sobre </w:t>
            </w:r>
            <w:r>
              <w:rPr>
                <w:rFonts w:ascii="Times New Roman" w:cs="Times New Roman" w:eastAsia="Times New Roman" w:hAnsi="Times New Roman"/>
                <w:b/>
                <w:bCs/>
                <w:i w:val="false"/>
                <w:iCs w:val="false"/>
                <w:sz w:val="19"/>
                <w:szCs w:val="19"/>
              </w:rPr>
              <w:t xml:space="preserve">tutela provisória</w:t>
            </w:r>
            <w:r>
              <w:rPr>
                <w:rFonts w:ascii="Times New Roman" w:cs="Times New Roman" w:eastAsia="Times New Roman" w:hAnsi="Times New Roman"/>
                <w:b w:val="false"/>
                <w:bCs w:val="false"/>
                <w:i w:val="false"/>
                <w:iCs w:val="false"/>
                <w:sz w:val="19"/>
                <w:szCs w:val="19"/>
              </w:rPr>
              <w:t xml:space="preserve">. Aqui, não cabe. Alternativa: </w:t>
            </w:r>
            <w:r>
              <w:rPr>
                <w:rFonts w:ascii="Times New Roman" w:cs="Times New Roman" w:eastAsia="Times New Roman" w:hAnsi="Times New Roman"/>
                <w:b/>
                <w:bCs/>
                <w:i w:val="false"/>
                <w:iCs w:val="false"/>
                <w:sz w:val="19"/>
                <w:szCs w:val="19"/>
              </w:rPr>
              <w:t xml:space="preserve">"pela ordem" para esclarecer fato</w:t>
            </w:r>
            <w:r>
              <w:rPr>
                <w:rFonts w:ascii="Times New Roman" w:cs="Times New Roman" w:eastAsia="Times New Roman" w:hAnsi="Times New Roman"/>
                <w:b w:val="false"/>
                <w:bCs w:val="false"/>
                <w:i w:val="false"/>
                <w:iCs w:val="false"/>
                <w:sz w:val="19"/>
                <w:szCs w:val="19"/>
              </w:rPr>
              <w:t xml:space="preserve"> (RITJSP, a confirmar), limitado a fatos</w:t>
            </w:r>
          </w:p>
        </w:tc>
      </w:tr>
      <w:tr>
        <w:trPr>
          <w:cantSplit/>
          <w:tblHeader w:val="false"/>
        </w:trPr>
        <w:tc>
          <w:tcPr>
            <w:tcW w:type="dxa" w:w="18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Despacho com a Relatora</w:t>
            </w:r>
          </w:p>
        </w:tc>
        <w:tc>
          <w:tcPr>
            <w:tcW w:type="dxa" w:w="24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prática; art. 7º, VIII, EOAB</w:t>
            </w:r>
          </w:p>
        </w:tc>
        <w:tc>
          <w:tcPr>
            <w:tcW w:type="dxa" w:w="24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antes do julgamento</w:t>
            </w:r>
          </w:p>
        </w:tc>
        <w:tc>
          <w:tcPr>
            <w:tcW w:type="dxa" w:w="242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Recomendado, levando os memoriais</w:t>
            </w:r>
          </w:p>
        </w:tc>
      </w:tr>
      <w:tr>
        <w:trPr>
          <w:cantSplit/>
          <w:tblHeader w:val="false"/>
        </w:trPr>
        <w:tc>
          <w:tcPr>
            <w:tcW w:type="dxa" w:w="181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Agravo interno</w:t>
            </w:r>
          </w:p>
        </w:tc>
        <w:tc>
          <w:tcPr>
            <w:tcW w:type="dxa" w:w="24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1.021</w:t>
            </w:r>
          </w:p>
        </w:tc>
        <w:tc>
          <w:tcPr>
            <w:tcW w:type="dxa" w:w="24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 dias</w:t>
            </w:r>
          </w:p>
        </w:tc>
        <w:tc>
          <w:tcPr>
            <w:tcW w:type="dxa" w:w="242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Só se houver decisão monocrática (art. 932)</w:t>
            </w:r>
          </w:p>
        </w:tc>
      </w:tr>
    </w:tbl>
    <w:p>
      <w:pPr>
        <w:spacing w:after="120"/>
      </w:pPr>
    </w:p>
    <w:p>
      <w:pPr>
        <w:pStyle w:val="Heading2"/>
        <w:keepNext/>
      </w:pPr>
      <w:r>
        <w:rPr>
          <w:rFonts w:ascii="Times New Roman" w:cs="Times New Roman" w:eastAsia="Times New Roman" w:hAnsi="Times New Roman"/>
        </w:rPr>
        <w:t xml:space="preserve">G2. Aditamento e inovação recursal</w:t>
      </w:r>
    </w:p>
    <w:p>
      <w:pPr>
        <w:spacing w:after="120" w:line="360"/>
        <w:jc w:val="both"/>
      </w:pPr>
      <w:r>
        <w:rPr>
          <w:rFonts w:ascii="Times New Roman" w:cs="Times New Roman" w:eastAsia="Times New Roman" w:hAnsi="Times New Roman"/>
          <w:b w:val="false"/>
          <w:bCs w:val="false"/>
          <w:i w:val="false"/>
          <w:iCs w:val="false"/>
        </w:rPr>
        <w:t xml:space="preserve">Aditar as razões do agravo </w:t>
      </w:r>
      <w:r>
        <w:rPr>
          <w:rFonts w:ascii="Times New Roman" w:cs="Times New Roman" w:eastAsia="Times New Roman" w:hAnsi="Times New Roman"/>
          <w:b/>
          <w:bCs/>
          <w:i w:val="false"/>
          <w:iCs w:val="false"/>
        </w:rPr>
        <w:t xml:space="preserve">não</w:t>
      </w:r>
      <w:r>
        <w:rPr>
          <w:rFonts w:ascii="Times New Roman" w:cs="Times New Roman" w:eastAsia="Times New Roman" w:hAnsi="Times New Roman"/>
          <w:b w:val="false"/>
          <w:bCs w:val="false"/>
          <w:i w:val="false"/>
          <w:iCs w:val="false"/>
        </w:rPr>
        <w:t xml:space="preserve"> é possível (preclusão consumativa, art. 1.017/1.003, § 5º). Classificação: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458"/>
        <w:gridCol w:w="4613"/>
      </w:tblGrid>
      <w:tr>
        <w:trPr>
          <w:cantSplit/>
          <w:tblHeader/>
        </w:trPr>
        <w:tc>
          <w:tcPr>
            <w:tcW w:type="dxa" w:w="44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Tópico</w:t>
            </w:r>
          </w:p>
        </w:tc>
        <w:tc>
          <w:tcPr>
            <w:tcW w:type="dxa" w:w="461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Inovação (vedada) ou reforço (permitido)</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A1, A3 (base homologada; artigos corretos)</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reforço: já está no agravo (IV.1, IV.1-A)</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A2 (fls. 3066 decidiu além dos embargos; decisão-surpresa)</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reforço</w:t>
            </w:r>
            <w:r>
              <w:rPr>
                <w:rFonts w:ascii="Times New Roman" w:cs="Times New Roman" w:eastAsia="Times New Roman" w:hAnsi="Times New Roman"/>
                <w:b w:val="false"/>
                <w:bCs w:val="false"/>
                <w:i w:val="false"/>
                <w:iCs w:val="false"/>
                <w:sz w:val="19"/>
                <w:szCs w:val="19"/>
              </w:rPr>
              <w:t xml:space="preserve"> da causa de pedir "fls. 3066 não pode desconstituir homologação"; a qualificação jurídica nova (arts. 9º/10/1.022) é matéria de direito e pode ser suscitada, com risco moderado de a Câmara chamá-la de inovação</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A4 (resposta ao art. 494, I e ao REsp 148.938)</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reforço</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A5 (efeito devolutivo do AI 2236642)</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reforço (o agravo já cita o acórdão em III.8)</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 (honorários 20% pela sentença dos embargos)</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reforço do item 2-A.1 do agravo; a </w:t>
            </w:r>
            <w:r>
              <w:rPr>
                <w:rFonts w:ascii="Times New Roman" w:cs="Times New Roman" w:eastAsia="Times New Roman" w:hAnsi="Times New Roman"/>
                <w:b/>
                <w:bCs/>
                <w:i w:val="false"/>
                <w:iCs w:val="false"/>
                <w:sz w:val="19"/>
                <w:szCs w:val="19"/>
              </w:rPr>
              <w:t xml:space="preserve">retificação</w:t>
            </w:r>
            <w:r>
              <w:rPr>
                <w:rFonts w:ascii="Times New Roman" w:cs="Times New Roman" w:eastAsia="Times New Roman" w:hAnsi="Times New Roman"/>
                <w:b w:val="false"/>
                <w:bCs w:val="false"/>
                <w:i w:val="false"/>
                <w:iCs w:val="false"/>
                <w:sz w:val="19"/>
                <w:szCs w:val="19"/>
              </w:rPr>
              <w:t xml:space="preserve"> de fls. 52 é dever de lealdade, não inovação</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C1 (mora 1% a.a.)</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não trazer; só responder se suscitado</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C4 (cessão)</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reforço (IV.2 do agravo)</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E1 (art. 926)</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reforço</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F1 (art. 1.000, p.u.)</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reforço do item IV.1-B, que já trata do cumprimento de ordem</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F2 (planilhas desde 1987)</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resposta a defesa</w:t>
            </w:r>
            <w:r>
              <w:rPr>
                <w:rFonts w:ascii="Times New Roman" w:cs="Times New Roman" w:eastAsia="Times New Roman" w:hAnsi="Times New Roman"/>
                <w:b w:val="false"/>
                <w:bCs w:val="false"/>
                <w:i w:val="false"/>
                <w:iCs w:val="false"/>
                <w:sz w:val="19"/>
                <w:szCs w:val="19"/>
              </w:rPr>
              <w:t xml:space="preserve">; não é inovação, é contraditório</w:t>
            </w:r>
          </w:p>
        </w:tc>
      </w:tr>
      <w:tr>
        <w:trPr>
          <w:cantSplit/>
          <w:tblHeader w:val="false"/>
        </w:trPr>
        <w:tc>
          <w:tcPr>
            <w:tcW w:type="dxa" w:w="44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Desistência do pedido "f" (sobrestar leilão)</w:t>
            </w:r>
          </w:p>
        </w:tc>
        <w:tc>
          <w:tcPr>
            <w:tcW w:type="dxa" w:w="46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permitida a qualquer tempo (art. 998)</w:t>
            </w:r>
          </w:p>
        </w:tc>
      </w:tr>
    </w:tbl>
    <w:p>
      <w:pPr>
        <w:spacing w:after="120"/>
      </w:pPr>
    </w:p>
    <w:p>
      <w:pPr>
        <w:pStyle w:val="Heading2"/>
        <w:keepNext/>
      </w:pPr>
      <w:r>
        <w:rPr>
          <w:rFonts w:ascii="Times New Roman" w:cs="Times New Roman" w:eastAsia="Times New Roman" w:hAnsi="Times New Roman"/>
        </w:rPr>
        <w:t xml:space="preserve">G3. Contraminuta</w:t>
      </w:r>
    </w:p>
    <w:p>
      <w:pPr>
        <w:spacing w:after="120" w:line="360"/>
        <w:jc w:val="both"/>
      </w:pPr>
      <w:r>
        <w:rPr>
          <w:rFonts w:ascii="Times New Roman" w:cs="Times New Roman" w:eastAsia="Times New Roman" w:hAnsi="Times New Roman"/>
          <w:b w:val="false"/>
          <w:bCs w:val="false"/>
          <w:i w:val="false"/>
          <w:iCs w:val="false"/>
        </w:rPr>
        <w:t xml:space="preserve">🟨 Não está no Drive. Respostas preparadas para as preliminares prováveis:</w:t>
      </w:r>
    </w:p>
    <w:p>
      <w:pPr>
        <w:pStyle w:val="ListParagraph"/>
        <w:numPr>
          <w:ilvl w:val="0"/>
          <w:numId w:val="2"/>
        </w:numPr>
        <w:spacing w:after="80" w:line="340"/>
        <w:jc w:val="both"/>
      </w:pPr>
      <w:r>
        <w:rPr>
          <w:rFonts w:ascii="Times New Roman" w:cs="Times New Roman" w:eastAsia="Times New Roman" w:hAnsi="Times New Roman"/>
          <w:b/>
          <w:bCs/>
          <w:i w:val="false"/>
          <w:iCs w:val="false"/>
        </w:rPr>
        <w:t xml:space="preserve">Deserção:</w:t>
      </w:r>
      <w:r>
        <w:rPr>
          <w:rFonts w:ascii="Times New Roman" w:cs="Times New Roman" w:eastAsia="Times New Roman" w:hAnsi="Times New Roman"/>
          <w:b w:val="false"/>
          <w:bCs w:val="false"/>
          <w:i w:val="false"/>
          <w:iCs w:val="false"/>
        </w:rPr>
        <w:t xml:space="preserve"> preparo recolhido em dobro em 28/07/2026 (duas guias, WPRO.26.01124604-4 e 01127671-7) dentro dos 5 dias do despacho de 27/07/2026; art. 1.007, § 4º cumprido; § 5º (vedação de nova complementação) não incide. Juntar as guias e pedir certidão.</w:t>
      </w:r>
    </w:p>
    <w:p>
      <w:pPr>
        <w:pStyle w:val="ListParagraph"/>
        <w:numPr>
          <w:ilvl w:val="0"/>
          <w:numId w:val="2"/>
        </w:numPr>
        <w:spacing w:after="80" w:line="340"/>
        <w:jc w:val="both"/>
      </w:pPr>
      <w:r>
        <w:rPr>
          <w:rFonts w:ascii="Times New Roman" w:cs="Times New Roman" w:eastAsia="Times New Roman" w:hAnsi="Times New Roman"/>
          <w:b/>
          <w:bCs/>
          <w:i w:val="false"/>
          <w:iCs w:val="false"/>
        </w:rPr>
        <w:t xml:space="preserve">Intempestividade / decisão reiterativa:</w:t>
      </w:r>
      <w:r>
        <w:rPr>
          <w:rFonts w:ascii="Times New Roman" w:cs="Times New Roman" w:eastAsia="Times New Roman" w:hAnsi="Times New Roman"/>
          <w:b w:val="false"/>
          <w:bCs w:val="false"/>
          <w:i w:val="false"/>
          <w:iCs w:val="false"/>
        </w:rPr>
        <w:t xml:space="preserve"> publicação em 07/07/2026 (DJe), feriado 09/07, prazo final 30/07; protocolo 24/07/2026. Quanto à "reiteração": fls. 3435/3437 tem três fundamentos novos (A2).</w:t>
      </w:r>
    </w:p>
    <w:p>
      <w:pPr>
        <w:pStyle w:val="ListParagraph"/>
        <w:numPr>
          <w:ilvl w:val="0"/>
          <w:numId w:val="2"/>
        </w:numPr>
        <w:spacing w:after="80" w:line="340"/>
        <w:jc w:val="both"/>
      </w:pPr>
      <w:r>
        <w:rPr>
          <w:rFonts w:ascii="Times New Roman" w:cs="Times New Roman" w:eastAsia="Times New Roman" w:hAnsi="Times New Roman"/>
          <w:b/>
          <w:bCs/>
          <w:i w:val="false"/>
          <w:iCs w:val="false"/>
        </w:rPr>
        <w:t xml:space="preserve">Inadmissibilidade (art. 1.015):</w:t>
      </w:r>
      <w:r>
        <w:rPr>
          <w:rFonts w:ascii="Times New Roman" w:cs="Times New Roman" w:eastAsia="Times New Roman" w:hAnsi="Times New Roman"/>
          <w:b w:val="false"/>
          <w:bCs w:val="false"/>
          <w:i w:val="false"/>
          <w:iCs w:val="false"/>
        </w:rPr>
        <w:t xml:space="preserve"> execução, parágrafo único; cabível.</w:t>
      </w:r>
    </w:p>
    <w:p>
      <w:pPr>
        <w:pStyle w:val="ListParagraph"/>
        <w:numPr>
          <w:ilvl w:val="0"/>
          <w:numId w:val="2"/>
        </w:numPr>
        <w:spacing w:after="80" w:line="340"/>
        <w:jc w:val="both"/>
      </w:pPr>
      <w:r>
        <w:rPr>
          <w:rFonts w:ascii="Times New Roman" w:cs="Times New Roman" w:eastAsia="Times New Roman" w:hAnsi="Times New Roman"/>
          <w:b/>
          <w:bCs/>
          <w:i w:val="false"/>
          <w:iCs w:val="false"/>
        </w:rPr>
        <w:t xml:space="preserve">Ausência de peças (art. 1.017):</w:t>
      </w:r>
      <w:r>
        <w:rPr>
          <w:rFonts w:ascii="Times New Roman" w:cs="Times New Roman" w:eastAsia="Times New Roman" w:hAnsi="Times New Roman"/>
          <w:b w:val="false"/>
          <w:bCs w:val="false"/>
          <w:i w:val="false"/>
          <w:iCs w:val="false"/>
        </w:rPr>
        <w:t xml:space="preserve"> o agravo lista 12 peças, inclusive decisão, certidão de publicação e procurações; eventual falta de peça facultativa é sanável (art. 1.017, § 3º; art. 932, p.u.).</w:t>
      </w:r>
    </w:p>
    <w:p>
      <w:pPr>
        <w:pStyle w:val="ListParagraph"/>
        <w:numPr>
          <w:ilvl w:val="0"/>
          <w:numId w:val="2"/>
        </w:numPr>
        <w:spacing w:after="80" w:line="340"/>
        <w:jc w:val="both"/>
      </w:pPr>
      <w:r>
        <w:rPr>
          <w:rFonts w:ascii="Times New Roman" w:cs="Times New Roman" w:eastAsia="Times New Roman" w:hAnsi="Times New Roman"/>
          <w:b/>
          <w:bCs/>
          <w:i w:val="false"/>
          <w:iCs w:val="false"/>
        </w:rPr>
        <w:t xml:space="preserve">Preclusão (fls. 3066 não agravada; fls. 3077 sem ressalva):</w:t>
      </w:r>
      <w:r>
        <w:rPr>
          <w:rFonts w:ascii="Times New Roman" w:cs="Times New Roman" w:eastAsia="Times New Roman" w:hAnsi="Times New Roman"/>
          <w:b w:val="false"/>
          <w:bCs w:val="false"/>
          <w:i w:val="false"/>
          <w:iCs w:val="false"/>
        </w:rPr>
        <w:t xml:space="preserve"> A2, A6, F1.</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BLOCO H — LOCALIZAÇÕES</w:t>
      </w:r>
    </w:p>
    <w:p>
      <w:pPr>
        <w:pStyle w:val="Heading2"/>
        <w:keepNext/>
      </w:pPr>
      <w:r>
        <w:rPr>
          <w:rFonts w:ascii="Times New Roman" w:cs="Times New Roman" w:eastAsia="Times New Roman" w:hAnsi="Times New Roman"/>
        </w:rPr>
        <w:t xml:space="preserve">H1. "fls. 2195"</w:t>
      </w:r>
    </w:p>
    <w:p>
      <w:pPr>
        <w:spacing w:after="120" w:line="360"/>
        <w:jc w:val="both"/>
      </w:pPr>
      <w:r>
        <w:rPr>
          <w:rFonts w:ascii="Times New Roman" w:cs="Times New Roman" w:eastAsia="Times New Roman" w:hAnsi="Times New Roman"/>
          <w:b w:val="false"/>
          <w:bCs w:val="false"/>
          <w:i w:val="false"/>
          <w:iCs w:val="false"/>
        </w:rPr>
        <w:t xml:space="preserve">🟨 fls. 2195 e-SAJ = folha </w:t>
      </w:r>
      <w:r>
        <w:rPr>
          <w:rFonts w:ascii="Times New Roman" w:cs="Times New Roman" w:eastAsia="Times New Roman" w:hAnsi="Times New Roman"/>
          <w:b/>
          <w:bCs/>
          <w:i w:val="false"/>
          <w:iCs w:val="false"/>
        </w:rPr>
        <w:t xml:space="preserve">659 da Carta Precatória</w:t>
      </w:r>
      <w:r>
        <w:rPr>
          <w:rFonts w:ascii="Times New Roman" w:cs="Times New Roman" w:eastAsia="Times New Roman" w:hAnsi="Times New Roman"/>
          <w:b w:val="false"/>
          <w:bCs w:val="false"/>
          <w:i w:val="false"/>
          <w:iCs w:val="false"/>
        </w:rPr>
        <w:t xml:space="preserve"> 0001710-82.2007 (volume digitalizado pela Iron Mountain, liberado em 04/06/2024; imagem sem texto). O parecer Fred cita "fls. 2195" para a homologação; é provável que a CP contenha cópia da decisão de fls. 203, mas não conferi a imagem. Folha correta a citar: </w:t>
      </w:r>
      <w:r>
        <w:rPr>
          <w:rFonts w:ascii="Times New Roman" w:cs="Times New Roman" w:eastAsia="Times New Roman" w:hAnsi="Times New Roman"/>
          <w:b/>
          <w:bCs/>
          <w:i w:val="false"/>
          <w:iCs w:val="false"/>
        </w:rPr>
        <w:t xml:space="preserve">fls. 203 e-SAJ / 152 física</w:t>
      </w:r>
      <w:r>
        <w:rPr>
          <w:rFonts w:ascii="Times New Roman" w:cs="Times New Roman" w:eastAsia="Times New Roman" w:hAnsi="Times New Roman"/>
          <w:b w:val="false"/>
          <w:bCs w:val="false"/>
          <w:i w:val="false"/>
          <w:iCs w:val="false"/>
        </w:rPr>
        <w:t xml:space="preserve">.</w:t>
      </w:r>
    </w:p>
    <w:p>
      <w:pPr>
        <w:pStyle w:val="Heading2"/>
        <w:keepNext/>
      </w:pPr>
      <w:r>
        <w:rPr>
          <w:rFonts w:ascii="Times New Roman" w:cs="Times New Roman" w:eastAsia="Times New Roman" w:hAnsi="Times New Roman"/>
        </w:rPr>
        <w:t xml:space="preserve">H2. fls. 387/394 da Carta Precatória</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Não é o AREsp 2.569.822/DF.</w:t>
      </w:r>
      <w:r>
        <w:rPr>
          <w:rFonts w:ascii="Times New Roman" w:cs="Times New Roman" w:eastAsia="Times New Roman" w:hAnsi="Times New Roman"/>
          <w:b w:val="false"/>
          <w:bCs w:val="false"/>
          <w:i w:val="false"/>
          <w:iCs w:val="false"/>
        </w:rPr>
        <w:t xml:space="preserve"> Este é caso do TJDFT (Perla Carolina de Olivio x Daniel de Morais Melo Pimenta; despesas condominiais), sem relação. O agravo em recurso especial do executado é o interposto no </w:t>
      </w:r>
      <w:r>
        <w:rPr>
          <w:rFonts w:ascii="Times New Roman" w:cs="Times New Roman" w:eastAsia="Times New Roman" w:hAnsi="Times New Roman"/>
          <w:b/>
          <w:bCs/>
          <w:i w:val="false"/>
          <w:iCs w:val="false"/>
        </w:rPr>
        <w:t xml:space="preserve">AI 2236655-84.2022</w:t>
      </w:r>
      <w:r>
        <w:rPr>
          <w:rFonts w:ascii="Times New Roman" w:cs="Times New Roman" w:eastAsia="Times New Roman" w:hAnsi="Times New Roman"/>
          <w:b w:val="false"/>
          <w:bCs w:val="false"/>
          <w:i w:val="false"/>
          <w:iCs w:val="false"/>
        </w:rPr>
        <w:t xml:space="preserve"> (REsp inadmitido pela Presidência da Seção de Direito Privado em 05/05/2023, fls. 1757/1759 e-SAJ, Súmula 7). O número do AREsp no STJ não consta dos arquivos lidos. As fls. 387/394 da CP correspondem a e-SAJ </w:t>
      </w:r>
      <w:r>
        <w:rPr>
          <w:rFonts w:ascii="Times New Roman" w:cs="Times New Roman" w:eastAsia="Times New Roman" w:hAnsi="Times New Roman"/>
          <w:b/>
          <w:bCs/>
          <w:i w:val="false"/>
          <w:iCs w:val="false"/>
        </w:rPr>
        <w:t xml:space="preserve">≈ 1924/1931</w:t>
      </w:r>
      <w:r>
        <w:rPr>
          <w:rFonts w:ascii="Times New Roman" w:cs="Times New Roman" w:eastAsia="Times New Roman" w:hAnsi="Times New Roman"/>
          <w:b w:val="false"/>
          <w:bCs w:val="false"/>
          <w:i w:val="false"/>
          <w:iCs w:val="false"/>
        </w:rPr>
        <w:t xml:space="preserve"> (CP 394 = e-SAJ 1931, confirmado); não li 1924/1930.</w:t>
      </w:r>
    </w:p>
    <w:p>
      <w:pPr>
        <w:pStyle w:val="Heading2"/>
        <w:keepNext/>
      </w:pPr>
      <w:r>
        <w:rPr>
          <w:rFonts w:ascii="Times New Roman" w:cs="Times New Roman" w:eastAsia="Times New Roman" w:hAnsi="Times New Roman"/>
        </w:rPr>
        <w:t xml:space="preserve">H3. fls. 651 e-SAJ</w:t>
      </w:r>
    </w:p>
    <w:p>
      <w:pPr>
        <w:spacing w:after="120" w:line="360"/>
        <w:jc w:val="both"/>
      </w:pPr>
      <w:r>
        <w:rPr>
          <w:rFonts w:ascii="Times New Roman" w:cs="Times New Roman" w:eastAsia="Times New Roman" w:hAnsi="Times New Roman"/>
          <w:b w:val="false"/>
          <w:bCs w:val="false"/>
          <w:i w:val="false"/>
          <w:iCs w:val="false"/>
        </w:rPr>
        <w:t xml:space="preserve">🟨 Citada na decisão de 16/05/2012 ("O crédito executado seria de R$ 1.140.030,51 (fls. 651)"). É a planilha de dez/2011 juntada pelos cessionários (petição de 19/12/2011 também na CP, fls. 2583 e-SAJ / 480 física). A folha 651 dos autos principais não foi aberta; física provável ≈ 531/533 (pela diferença de 118-120 nessa região: 655→537). 🟨</w:t>
      </w:r>
    </w:p>
    <w:p>
      <w:pPr>
        <w:pStyle w:val="Heading2"/>
        <w:keepNext/>
      </w:pPr>
      <w:r>
        <w:rPr>
          <w:rFonts w:ascii="Times New Roman" w:cs="Times New Roman" w:eastAsia="Times New Roman" w:hAnsi="Times New Roman"/>
        </w:rPr>
        <w:t xml:space="preserve">H4. Tabela de correspondência (conferida por imagem, salvo indicação)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318"/>
        <w:gridCol w:w="2433"/>
        <w:gridCol w:w="3320"/>
      </w:tblGrid>
      <w:tr>
        <w:trPr>
          <w:cantSplit/>
          <w:tblHeader/>
        </w:trPr>
        <w:tc>
          <w:tcPr>
            <w:tcW w:type="dxa" w:w="331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e-SAJ</w:t>
            </w:r>
          </w:p>
        </w:tc>
        <w:tc>
          <w:tcPr>
            <w:tcW w:type="dxa" w:w="243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Física</w:t>
            </w:r>
          </w:p>
        </w:tc>
        <w:tc>
          <w:tcPr>
            <w:tcW w:type="dxa" w:w="332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Documento</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27</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02</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inicial (não conferi a 1ª página; a numeração do prompt é coerente com 31→06)</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31</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06</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inicial, pedido e valor da causa</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39</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12</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cédula 52/559</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40</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(verso/registro)</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registro no CRI, 13/05/1987</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52</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23</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cite-se</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54</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24</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mandado</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67</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46? (carimbo parcialmente legível)</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certidão de decurso do mandado, 08/04/1988</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120 / 122</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79 / 81</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laudo de avaliação (Maria Angélica Carbonieri)</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165</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122</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1ª conta (06/02/1995)</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174 / 175</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129 / 130</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impugnação Banespa</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177</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132 (rubrica)</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cálculo Banespa 02/03/1995</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178</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"133" (divergente do "131" citado no agravo)</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remessa ao contador</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179</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n/d</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informação do contador</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180 a 183</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134 a 137</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conta retificada</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185/186</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138/139 (🟨 não aberta)</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habilitação Bradesco</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202</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151</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Banespa nada opõe</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203</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152</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homologação</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204</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n/d (verso de 152)</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certidões</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655 a 660</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537 a 542</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petição e cessão (31/03/2010)</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661</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n/d</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reconhecimentos de firma</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786 / 787 / 788 / 790</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657 / 658 / 659 / 660</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decisões de 26/04 e 16/05/2012</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913 → 1057</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913</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decisão 27/04/2017 (o carimbo físico é 913; e-SAJ 1057)</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1671 a 1676</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537 a 542 (cópia)</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cessão (cópia juntada em 2022)</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1931 a 1934</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394 a 397</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certidão do AI 2236655; decisão 14/03/2024</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1944 a 1951</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407 a 414</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planilha 19/04/2024</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2137 a 2139</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600 a 602 / 148 a 150</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Santander 12/09/2007</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2402 / 2403</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865 / 866</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Santander 10/07/2009</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2572</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1035</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cessionários 22/08/2011</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2583</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1046 / 480</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cessionários 19/12/2011</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2885</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CP 1348</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planilha out/2019</w:t>
            </w:r>
          </w:p>
        </w:tc>
      </w:tr>
      <w:tr>
        <w:trPr>
          <w:cantSplit/>
          <w:tblHeader w:val="false"/>
        </w:trPr>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3038 a 3044; 3064 a 3066; 3077/3078; 3082/3084; 3345 a 3351; 3394 a 3403; 3407 a 3419; 3435 a 3437; 3441 a 3459</w:t>
            </w:r>
          </w:p>
        </w:tc>
        <w:tc>
          <w:tcPr>
            <w:tcW w:type="dxa" w:w="243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n/d (digitais)</w:t>
            </w:r>
          </w:p>
        </w:tc>
        <w:tc>
          <w:tcPr>
            <w:tcW w:type="dxa" w:w="33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bl>
    <w:p>
      <w:pPr>
        <w:spacing w:after="120"/>
      </w:pPr>
    </w:p>
    <w:p>
      <w:pPr>
        <w:pStyle w:val="Heading2"/>
        <w:keepNext/>
      </w:pPr>
      <w:r>
        <w:rPr>
          <w:rFonts w:ascii="Times New Roman" w:cs="Times New Roman" w:eastAsia="Times New Roman" w:hAnsi="Times New Roman"/>
        </w:rPr>
        <w:t xml:space="preserve">H5. Embargos 0015252-76.2006</w:t>
      </w:r>
    </w:p>
    <w:p>
      <w:pPr>
        <w:spacing w:after="120" w:line="360"/>
        <w:jc w:val="both"/>
      </w:pPr>
      <w:r>
        <w:rPr>
          <w:rFonts w:ascii="Times New Roman" w:cs="Times New Roman" w:eastAsia="Times New Roman" w:hAnsi="Times New Roman"/>
          <w:b w:val="false"/>
          <w:bCs w:val="false"/>
          <w:i w:val="false"/>
          <w:iCs w:val="false"/>
        </w:rPr>
        <w:t xml:space="preserve">🟨 Dentro da execução, o que remete aos embargos: fls. 23 e-SAJ (certidão de 26/04/2024 sobre digitalização de peças "fls. 54 (atual fls.60), fls. 62 (atual fls. 69) e fls. 63 (atual fls. 70) do processo número 0015252-76.2006"); fls. 1419/1421 (executado); fls. 1483 (exequentes: sentença 03/05/1991, fls. 32/47, trânsito fls. 85 dos autos digitalizados); fls. 2137/2139 (Santander, 2007, "cópias autenticadas da sentença e acórdão anexa" — cópias provavelmente em fls. 2140/2160 e-SAJ, imagens não lidas); fls. 3038 ("Houve oposição de embargos do devedor (…) que foi julgado"). Os dois PDFs dos embargos no Drive são apenas extratos de andamento (entrada 13/04/1988; apensamento 15/03/2013; arquivamento 06/12/2019; digitalização 31/01/2024; arquivamento definitivo 30/04/2024; eliminação do papel 05/02/2026). </w:t>
      </w:r>
      <w:r>
        <w:rPr>
          <w:rFonts w:ascii="Times New Roman" w:cs="Times New Roman" w:eastAsia="Times New Roman" w:hAnsi="Times New Roman"/>
          <w:b/>
          <w:bCs/>
          <w:i w:val="false"/>
          <w:iCs w:val="false"/>
        </w:rPr>
        <w:t xml:space="preserve">A sentença e o acórdão não estão em nenhum arquivo recebido.</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TABELA-RESUMO DE RISCOS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12"/>
        <w:gridCol w:w="1253"/>
        <w:gridCol w:w="1991"/>
        <w:gridCol w:w="2212"/>
        <w:gridCol w:w="1403"/>
      </w:tblGrid>
      <w:tr>
        <w:trPr>
          <w:cantSplit/>
          <w:tblHeader/>
        </w:trPr>
        <w:tc>
          <w:tcPr>
            <w:tcW w:type="dxa" w:w="221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Risco</w:t>
            </w:r>
          </w:p>
        </w:tc>
        <w:tc>
          <w:tcPr>
            <w:tcW w:type="dxa" w:w="125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Prob.</w:t>
            </w:r>
          </w:p>
        </w:tc>
        <w:tc>
          <w:tcPr>
            <w:tcW w:type="dxa" w:w="199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Impacto</w:t>
            </w:r>
          </w:p>
        </w:tc>
        <w:tc>
          <w:tcPr>
            <w:tcW w:type="dxa" w:w="221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Resposta</w:t>
            </w:r>
          </w:p>
        </w:tc>
        <w:tc>
          <w:tcPr>
            <w:tcW w:type="dxa" w:w="140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Fonte</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Preclusão contra os exequentes: fls. 3066 não agravada e fls. 3077/3078 sem ressalva</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alta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fatal ao pedido principal</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A2 (fls. 3066 decidiu além dos embargos), A6 (nenhuma decisão anterior fixou método), F1 (art. 1.000, p.u.; REsp 2.018.575)</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3064/3066; 3077/3078; 3082/3084</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iCs/>
                <w:sz w:val="19"/>
                <w:szCs w:val="19"/>
              </w:rPr>
              <w:t xml:space="preserve">Venire</w:t>
            </w:r>
            <w:r>
              <w:rPr>
                <w:rFonts w:ascii="Times New Roman" w:cs="Times New Roman" w:eastAsia="Times New Roman" w:hAnsi="Times New Roman"/>
                <w:b w:val="false"/>
                <w:bCs w:val="false"/>
                <w:i w:val="false"/>
                <w:iCs w:val="false"/>
                <w:sz w:val="19"/>
                <w:szCs w:val="19"/>
              </w:rPr>
              <w:t xml:space="preserve">: 19 anos de planilhas desde 1987, "mera liberalidade" do Santander</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alta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reduz o pedido a "piso"; pode levar a preclusão lógica</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F2: admitir, explicar, rebaixar o pedido para perícia a partir de 1995</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2137/2139; 2402; 2885; 1948; 3078</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Desproporção R$ 185 mi x imóvel R$ 12,8 mi x cessão R$ 200 mil</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alta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perda de credibilidade</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C5: pedido principal = base + perícia; explicar que o excedente nunca será recebido</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3419; 3374; 655/660</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Afirmação errada sobre fls. 52 (20%)</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média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art. 80, II; descrédito</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B1/B5: retificar; fonte dos 20% = sentença dos embargos + confissão de fls. 1419/1421</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52; 54; 31; 39; 1419</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Mora de 1% a.m. capitalizada na conta de 1995 (DL 413, art. 5º, p.u.)</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média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executado ataca a conta como ilegal</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C1: preclusão; critério ≠ erro material (2.127.021; 2.500.976)</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180/183</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148.938/RJ e art. 494, I</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média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Câmara aceita "erro material"</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A4: EREsp 1.229.406 (distinção do próprio STJ)</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pasta</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Precedente da 13ª CDP (Giaquinto, Ap. 1040981-64.2018) contra encargos pós-cessão</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média (se os memoriais insistirem)</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C4: não cobrar encargos pós-1995; limitar ao período Banespa</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3042</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Homologação de valor no agravo = supressão de instância</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alta</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pedido "d.3" negado</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pedir base + remessa</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AI 2236642</w:t>
            </w:r>
          </w:p>
        </w:tc>
      </w:tr>
      <w:tr>
        <w:trPr>
          <w:cantSplit/>
          <w:tblHeader w:val="false"/>
        </w:trPr>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Acórdão AI 2353386 incompleto; contraminuta desconhecida</w:t>
            </w:r>
          </w:p>
        </w:tc>
        <w:tc>
          <w:tcPr>
            <w:tcW w:type="dxa" w:w="125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199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respostas às preliminares às cegas</w:t>
            </w:r>
          </w:p>
        </w:tc>
        <w:tc>
          <w:tcPr>
            <w:tcW w:type="dxa" w:w="221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G3</w:t>
            </w:r>
          </w:p>
        </w:tc>
        <w:tc>
          <w:tcPr>
            <w:tcW w:type="dxa" w:w="140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bl>
    <w:p>
      <w:pPr>
        <w:spacing w:after="120"/>
      </w:pPr>
    </w:p>
    <w:p>
      <w:pPr>
        <w:pStyle w:val="Heading1"/>
        <w:keepNext/>
      </w:pPr>
      <w:r>
        <w:rPr>
          <w:rFonts w:ascii="Times New Roman" w:cs="Times New Roman" w:eastAsia="Times New Roman" w:hAnsi="Times New Roman"/>
        </w:rPr>
        <w:t xml:space="preserve">TABELA DE JURISPRUDÊNCIA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110"/>
        <w:gridCol w:w="3110"/>
        <w:gridCol w:w="829"/>
        <w:gridCol w:w="2022"/>
      </w:tblGrid>
      <w:tr>
        <w:trPr>
          <w:cantSplit/>
          <w:tblHeader/>
        </w:trPr>
        <w:tc>
          <w:tcPr>
            <w:tcW w:type="dxa" w:w="311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Julgado</w:t>
            </w:r>
          </w:p>
        </w:tc>
        <w:tc>
          <w:tcPr>
            <w:tcW w:type="dxa" w:w="311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Identificação</w:t>
            </w:r>
          </w:p>
        </w:tc>
        <w:tc>
          <w:tcPr>
            <w:tcW w:type="dxa" w:w="829"/>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Na pasta?</w:t>
            </w:r>
          </w:p>
        </w:tc>
        <w:tc>
          <w:tcPr>
            <w:tcW w:type="dxa" w:w="202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Sinal</w:t>
            </w:r>
          </w:p>
        </w:tc>
      </w:tr>
      <w:tr>
        <w:trPr>
          <w:cantSplit/>
          <w:tblHeader w:val="false"/>
        </w:trPr>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EDcl no REsp 1.229.406/SP</w:t>
            </w:r>
          </w:p>
        </w:tc>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1ª T., Rel. Min. Benedito Gonçalves, j. 16/02/2012, DJe 07/03/2012; Radi Macruz x DERSA</w:t>
            </w:r>
          </w:p>
        </w:tc>
        <w:tc>
          <w:tcPr>
            <w:tcW w:type="dxa" w:w="8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0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favorável (título judicial)</w:t>
            </w:r>
          </w:p>
        </w:tc>
      </w:tr>
      <w:tr>
        <w:trPr>
          <w:cantSplit/>
          <w:tblHeader w:val="false"/>
        </w:trPr>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EREsp 1.229.406/SP</w:t>
            </w:r>
          </w:p>
        </w:tc>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Min. João Otávio de Noronha, decisão 05/08/2014, DJe 12/08/2014</w:t>
            </w:r>
          </w:p>
        </w:tc>
        <w:tc>
          <w:tcPr>
            <w:tcW w:type="dxa" w:w="8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0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distingue o 148.938</w:t>
            </w:r>
          </w:p>
        </w:tc>
      </w:tr>
      <w:tr>
        <w:trPr>
          <w:cantSplit/>
          <w:tblHeader w:val="false"/>
        </w:trPr>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148.938/RJ</w:t>
            </w:r>
          </w:p>
        </w:tc>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3ª T., Rel. Min. Waldemar Zveiter (voto prevalente Ari Pargendler), j. 12/09/2000, DJ 12/03/2001</w:t>
            </w:r>
          </w:p>
        </w:tc>
        <w:tc>
          <w:tcPr>
            <w:tcW w:type="dxa" w:w="8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0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dois gumes</w:t>
            </w:r>
          </w:p>
        </w:tc>
      </w:tr>
      <w:tr>
        <w:trPr>
          <w:cantSplit/>
          <w:tblHeader w:val="false"/>
        </w:trPr>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AREsp 2.500.976/PR</w:t>
            </w:r>
          </w:p>
        </w:tc>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4ª T., Rel. Min. Noronha, sessão 03-09/03/2026, DJEN 12/03/2026</w:t>
            </w:r>
          </w:p>
        </w:tc>
        <w:tc>
          <w:tcPr>
            <w:tcW w:type="dxa" w:w="8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0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REsp 2.127.021/DF</w:t>
            </w:r>
          </w:p>
        </w:tc>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3ª T., Rel. Min. Humberto Martins, sessão 13-19/08/2024</w:t>
            </w:r>
          </w:p>
        </w:tc>
        <w:tc>
          <w:tcPr>
            <w:tcW w:type="dxa" w:w="8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0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2.018.575/PR</w:t>
            </w:r>
          </w:p>
        </w:tc>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3ª T., Rel. Min. Nancy Andrighi, j. 12/09/2023, DJe 28/09/2023</w:t>
            </w:r>
          </w:p>
        </w:tc>
        <w:tc>
          <w:tcPr>
            <w:tcW w:type="dxa" w:w="8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0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EDcl no REsp 2.178.097/RS</w:t>
            </w:r>
          </w:p>
        </w:tc>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4ª T., Rel. Min. Raul Araújo, j. 25/05/2026, DJEN 01/06/2026</w:t>
            </w:r>
          </w:p>
        </w:tc>
        <w:tc>
          <w:tcPr>
            <w:tcW w:type="dxa" w:w="8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0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1.655.655/SP</w:t>
            </w:r>
          </w:p>
        </w:tc>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3ª T., Rel. Min. Villas Bôas Cueva, j. 25/06/2019, DJe 01/07/2019</w:t>
            </w:r>
          </w:p>
        </w:tc>
        <w:tc>
          <w:tcPr>
            <w:tcW w:type="dxa" w:w="8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0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AREsp 2.569.822/DF (decisão, AgInt, certidão)</w:t>
            </w:r>
          </w:p>
        </w:tc>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Min. Marco Buzzi; 4ª T., 23/09/2024; trânsito 17/10/2024</w:t>
            </w:r>
          </w:p>
        </w:tc>
        <w:tc>
          <w:tcPr>
            <w:tcW w:type="dxa" w:w="8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0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neutro</w:t>
            </w:r>
          </w:p>
        </w:tc>
      </w:tr>
      <w:tr>
        <w:trPr>
          <w:cantSplit/>
          <w:tblHeader w:val="false"/>
        </w:trPr>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1.795.982/SP</w:t>
            </w:r>
          </w:p>
        </w:tc>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Corte Especial, Rel. p/ ac. Min. Raul Araújo, 06/03 e 21/08/2024, DJe 23/10/2024</w:t>
            </w:r>
          </w:p>
        </w:tc>
        <w:tc>
          <w:tcPr>
            <w:tcW w:type="dxa" w:w="8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0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neutro (SELIC)</w:t>
            </w:r>
          </w:p>
        </w:tc>
      </w:tr>
      <w:tr>
        <w:trPr>
          <w:cantSplit/>
          <w:tblHeader w:val="false"/>
        </w:trPr>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EAREsp 600.811/SP</w:t>
            </w:r>
          </w:p>
        </w:tc>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Corte Especial, Rel. Min. Og Fernandes, j. 04/12/2019, DJe 07/02/2020</w:t>
            </w:r>
          </w:p>
        </w:tc>
        <w:tc>
          <w:tcPr>
            <w:tcW w:type="dxa" w:w="8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0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dois gumes</w:t>
            </w:r>
          </w:p>
        </w:tc>
      </w:tr>
      <w:tr>
        <w:trPr>
          <w:cantSplit/>
          <w:tblHeader w:val="false"/>
        </w:trPr>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1.061.530/RS + Súmula 381</w:t>
            </w:r>
          </w:p>
        </w:tc>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2ª Seção, Rel. Min. Nancy Andrighi, j. 22/10/2008, DJe 10/03/2009 (repetitivo)</w:t>
            </w:r>
          </w:p>
        </w:tc>
        <w:tc>
          <w:tcPr>
            <w:tcW w:type="dxa" w:w="8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0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dois gumes (exclui cédulas)</w:t>
            </w:r>
          </w:p>
        </w:tc>
      </w:tr>
      <w:tr>
        <w:trPr>
          <w:cantSplit/>
          <w:tblHeader w:val="false"/>
        </w:trPr>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AREsp 43.936/RJ</w:t>
            </w:r>
          </w:p>
        </w:tc>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Min. Villas Bôas Cueva, decisão 06/05/2014, DJe 16/05/2014</w:t>
            </w:r>
          </w:p>
        </w:tc>
        <w:tc>
          <w:tcPr>
            <w:tcW w:type="dxa" w:w="8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0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nos EDcl no AREsp 1.122.847/SP</w:t>
            </w:r>
          </w:p>
        </w:tc>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4ª T., Rel. Min. Raul Araújo, j. 10/10/2023, DJe 27/10/2023</w:t>
            </w:r>
          </w:p>
        </w:tc>
        <w:tc>
          <w:tcPr>
            <w:tcW w:type="dxa" w:w="8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0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1.984.424/SP</w:t>
            </w:r>
          </w:p>
        </w:tc>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3ª T., Rel. Min. Villas Bôas Cueva, j. 23/08/2022, trânsito 20/09/2022</w:t>
            </w:r>
          </w:p>
        </w:tc>
        <w:tc>
          <w:tcPr>
            <w:tcW w:type="dxa" w:w="8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0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(CCB)</w:t>
            </w:r>
          </w:p>
        </w:tc>
      </w:tr>
      <w:tr>
        <w:trPr>
          <w:cantSplit/>
          <w:tblHeader w:val="false"/>
        </w:trPr>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1.861.550/DF</w:t>
            </w:r>
          </w:p>
        </w:tc>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2ª T., Rel. Min. Og Fernandes, j. 16/06/2020, DJe 04/08/2020</w:t>
            </w:r>
          </w:p>
        </w:tc>
        <w:tc>
          <w:tcPr>
            <w:tcW w:type="dxa" w:w="8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0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analogia</w:t>
            </w:r>
          </w:p>
        </w:tc>
      </w:tr>
      <w:tr>
        <w:trPr>
          <w:cantSplit/>
          <w:tblHeader w:val="false"/>
        </w:trPr>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1.256.633/RS</w:t>
            </w:r>
          </w:p>
        </w:tc>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Min. Noronha, decisão 22/06/2011, DJe 30/06/2011</w:t>
            </w:r>
          </w:p>
        </w:tc>
        <w:tc>
          <w:tcPr>
            <w:tcW w:type="dxa" w:w="8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0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monocrática</w:t>
            </w:r>
          </w:p>
        </w:tc>
      </w:tr>
      <w:tr>
        <w:trPr>
          <w:cantSplit/>
          <w:tblHeader w:val="false"/>
        </w:trPr>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256.832/CE</w:t>
            </w:r>
          </w:p>
        </w:tc>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5ª T., Rel. Min. Edson Vidigal, j. 15/08/2000, DJ 11/09/2000</w:t>
            </w:r>
          </w:p>
        </w:tc>
        <w:tc>
          <w:tcPr>
            <w:tcW w:type="dxa" w:w="8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0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AREsp 2.019.623/SP</w:t>
            </w:r>
          </w:p>
        </w:tc>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4ª T., Rel. Min. Raul Araújo, sessão 13-19/09/2022</w:t>
            </w:r>
          </w:p>
        </w:tc>
        <w:tc>
          <w:tcPr>
            <w:tcW w:type="dxa" w:w="8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0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REsp 1.476.534/CE</w:t>
            </w:r>
          </w:p>
        </w:tc>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2ª T., Rel. Min. Og Fernandes, sessão 10-16/08/2021</w:t>
            </w:r>
          </w:p>
        </w:tc>
        <w:tc>
          <w:tcPr>
            <w:tcW w:type="dxa" w:w="8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0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contra (distinguir)</w:t>
            </w:r>
          </w:p>
        </w:tc>
      </w:tr>
      <w:tr>
        <w:trPr>
          <w:cantSplit/>
          <w:tblHeader w:val="false"/>
        </w:trPr>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31.025/RS</w:t>
            </w:r>
          </w:p>
        </w:tc>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4ª T., Rel. Min. Sálvio de Figueiredo, j. 17/02/1993 (no PDF da Súmula 93)</w:t>
            </w:r>
          </w:p>
        </w:tc>
        <w:tc>
          <w:tcPr>
            <w:tcW w:type="dxa" w:w="8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0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Súmulas 93/STJ, 596/STF, 254/STF, 121/STF, 381/STJ</w:t>
            </w:r>
          </w:p>
        </w:tc>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8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0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ver Bloco D</w:t>
            </w:r>
          </w:p>
        </w:tc>
      </w:tr>
      <w:tr>
        <w:trPr>
          <w:cantSplit/>
          <w:tblHeader w:val="false"/>
        </w:trPr>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2236655-84.2022</w:t>
            </w:r>
          </w:p>
        </w:tc>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13ª CDP, Rel. Ana de Lourdes C. S. da Fonseca, j. 05/12/2022</w:t>
            </w:r>
          </w:p>
        </w:tc>
        <w:tc>
          <w:tcPr>
            <w:tcW w:type="dxa" w:w="8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0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2236642-80.2025</w:t>
            </w:r>
          </w:p>
        </w:tc>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13ª CDP, mesma Relatora, j. 07/10/2025</w:t>
            </w:r>
          </w:p>
        </w:tc>
        <w:tc>
          <w:tcPr>
            <w:tcW w:type="dxa" w:w="8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0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2353386-61.2025</w:t>
            </w:r>
          </w:p>
        </w:tc>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13ª CDP, mesma Relatora, j. 04/03/2026</w:t>
            </w:r>
          </w:p>
        </w:tc>
        <w:tc>
          <w:tcPr>
            <w:tcW w:type="dxa" w:w="8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 (incompleto)</w:t>
            </w:r>
          </w:p>
        </w:tc>
        <w:tc>
          <w:tcPr>
            <w:tcW w:type="dxa" w:w="20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2123223-58.2020</w:t>
            </w:r>
          </w:p>
        </w:tc>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20ª CDP, Rel. Rebello Pinho, j. 24/08/2020</w:t>
            </w:r>
          </w:p>
        </w:tc>
        <w:tc>
          <w:tcPr>
            <w:tcW w:type="dxa" w:w="8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0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dois gumes</w:t>
            </w:r>
          </w:p>
        </w:tc>
      </w:tr>
      <w:tr>
        <w:trPr>
          <w:cantSplit/>
          <w:tblHeader w:val="false"/>
        </w:trPr>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2250267-55.2023</w:t>
            </w:r>
          </w:p>
        </w:tc>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19ª CDP, Rel. Cláudia Grieco Tabosa Pessoa, j. 11/12/2023</w:t>
            </w:r>
          </w:p>
        </w:tc>
        <w:tc>
          <w:tcPr>
            <w:tcW w:type="dxa" w:w="8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0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2401202-39.2025</w:t>
            </w:r>
          </w:p>
        </w:tc>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7ª CDP, Rel. Pastorelo Kfouri, j. 30/04/2026</w:t>
            </w:r>
          </w:p>
        </w:tc>
        <w:tc>
          <w:tcPr>
            <w:tcW w:type="dxa" w:w="8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0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2065526-45.2021 (Registro 2021.0000902160)</w:t>
            </w:r>
          </w:p>
        </w:tc>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23ª CDP, ac. Des. Marcos Gozzo (maioria), j. 20/10/2021</w:t>
            </w:r>
          </w:p>
        </w:tc>
        <w:tc>
          <w:tcPr>
            <w:tcW w:type="dxa" w:w="8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sim</w:t>
            </w:r>
          </w:p>
        </w:tc>
        <w:tc>
          <w:tcPr>
            <w:tcW w:type="dxa" w:w="20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(o título do arquivo está invertido)</w:t>
            </w:r>
          </w:p>
        </w:tc>
      </w:tr>
      <w:tr>
        <w:trPr>
          <w:cantSplit/>
          <w:tblHeader w:val="false"/>
        </w:trPr>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Ap. 1040981-64.2018 (Giaquinto, 13ª CDP, 27/01/2021)</w:t>
            </w:r>
          </w:p>
        </w:tc>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citada em fls. 3042</w:t>
            </w:r>
          </w:p>
        </w:tc>
        <w:tc>
          <w:tcPr>
            <w:tcW w:type="dxa" w:w="8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não</w:t>
            </w:r>
          </w:p>
        </w:tc>
        <w:tc>
          <w:tcPr>
            <w:tcW w:type="dxa" w:w="20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contra (cessão)</w:t>
            </w:r>
          </w:p>
        </w:tc>
      </w:tr>
      <w:tr>
        <w:trPr>
          <w:cantSplit/>
          <w:tblHeader w:val="false"/>
        </w:trPr>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AgInt no AREsp 1.539.138/SP; AgInt no REsp 1.455.741/DF; AgInt no AREsp 1.851.737/DF; TJSP AI 2181564-67.2026; AI 2297076-69.2024; Ap. 0017993-79.2012</w:t>
            </w:r>
          </w:p>
        </w:tc>
        <w:tc>
          <w:tcPr>
            <w:tcW w:type="dxa" w:w="311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82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não</w:t>
            </w:r>
          </w:p>
        </w:tc>
        <w:tc>
          <w:tcPr>
            <w:tcW w:type="dxa" w:w="20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a confirmar</w:t>
            </w:r>
          </w:p>
        </w:tc>
      </w:tr>
    </w:tbl>
    <w:p>
      <w:pPr>
        <w:spacing w:after="120"/>
      </w:pPr>
    </w:p>
    <w:p>
      <w:pPr>
        <w:pStyle w:val="Heading1"/>
        <w:keepNext/>
      </w:pPr>
      <w:r>
        <w:rPr>
          <w:rFonts w:ascii="Times New Roman" w:cs="Times New Roman" w:eastAsia="Times New Roman" w:hAnsi="Times New Roman"/>
        </w:rPr>
        <w:t xml:space="preserve">LISTA DE DOCUMENTOS A SUBIR</w:t>
      </w:r>
    </w:p>
    <w:p>
      <w:pPr>
        <w:spacing w:after="120" w:line="360"/>
        <w:jc w:val="both"/>
      </w:pPr>
      <w:r>
        <w:rPr>
          <w:rFonts w:ascii="Times New Roman" w:cs="Times New Roman" w:eastAsia="Times New Roman" w:hAnsi="Times New Roman"/>
          <w:b w:val="false"/>
          <w:bCs w:val="false"/>
          <w:i w:val="false"/>
          <w:iCs w:val="false"/>
        </w:rPr>
        <w:t xml:space="preserve">Ver "PRIMEIRO PASSO" (grupos 1 e 2). Prioridade: (1) contraminuta; (2) sentença/acórdão dos embargos (fls. 2140/2160 e-SAJ ou fls. 32/47 e 85 dos embargos digitalizados); (3) fls. 3404 (fim do acórdão do AI 2353386); (4) AREsp 1.539.138 correto.</w:t>
      </w:r>
    </w:p>
    <w:p>
      <w:pPr>
        <w:pStyle w:val="Heading1"/>
        <w:keepNext/>
      </w:pPr>
      <w:r>
        <w:rPr>
          <w:rFonts w:ascii="Times New Roman" w:cs="Times New Roman" w:eastAsia="Times New Roman" w:hAnsi="Times New Roman"/>
        </w:rPr>
        <w:t xml:space="preserve">ESQUELETO DOS MEMORIAIS (ordem de persuasão)</w:t>
      </w:r>
    </w:p>
    <w:p>
      <w:pPr>
        <w:pStyle w:val="ListParagraph"/>
        <w:numPr>
          <w:ilvl w:val="0"/>
          <w:numId w:val="3"/>
        </w:numPr>
        <w:spacing w:after="80" w:line="340"/>
        <w:jc w:val="both"/>
      </w:pPr>
      <w:r>
        <w:rPr>
          <w:rFonts w:ascii="Times New Roman" w:cs="Times New Roman" w:eastAsia="Times New Roman" w:hAnsi="Times New Roman"/>
          <w:b/>
          <w:bCs/>
          <w:i w:val="false"/>
          <w:iCs w:val="false"/>
        </w:rPr>
        <w:t xml:space="preserve">Síntese em uma página</w:t>
      </w:r>
      <w:r>
        <w:rPr>
          <w:rFonts w:ascii="Times New Roman" w:cs="Times New Roman" w:eastAsia="Times New Roman" w:hAnsi="Times New Roman"/>
          <w:b w:val="false"/>
          <w:bCs w:val="false"/>
          <w:i w:val="false"/>
          <w:iCs w:val="false"/>
        </w:rPr>
        <w:t xml:space="preserve">: o que se pede (base de 1995 + perícia), o que não se pede mais (homologação de R$ 185 mi; sobrestamento do leilão). Prova: fls. 203/204 e-SAJ (152 física).</w:t>
      </w:r>
    </w:p>
    <w:p>
      <w:pPr>
        <w:pStyle w:val="ListParagraph"/>
        <w:numPr>
          <w:ilvl w:val="0"/>
          <w:numId w:val="3"/>
        </w:numPr>
        <w:spacing w:after="80" w:line="340"/>
        <w:jc w:val="both"/>
      </w:pPr>
      <w:r>
        <w:rPr>
          <w:rFonts w:ascii="Times New Roman" w:cs="Times New Roman" w:eastAsia="Times New Roman" w:hAnsi="Times New Roman"/>
          <w:b/>
          <w:bCs/>
          <w:i w:val="false"/>
          <w:iCs w:val="false"/>
        </w:rPr>
        <w:t xml:space="preserve">A conta homologada e sua história</w:t>
      </w:r>
      <w:r>
        <w:rPr>
          <w:rFonts w:ascii="Times New Roman" w:cs="Times New Roman" w:eastAsia="Times New Roman" w:hAnsi="Times New Roman"/>
          <w:b w:val="false"/>
          <w:bCs w:val="false"/>
          <w:i w:val="false"/>
          <w:iCs w:val="false"/>
        </w:rPr>
        <w:t xml:space="preserve">: 1ª conta (165/122) → impugnação do Banespa (174-175/129-130) → retificação por ordem judicial (178/"133"; 179) → homologação (203/152) → certidão (204). O devedor, citado (54/24), nunca impugnou.</w:t>
      </w:r>
    </w:p>
    <w:p>
      <w:pPr>
        <w:pStyle w:val="ListParagraph"/>
        <w:numPr>
          <w:ilvl w:val="0"/>
          <w:numId w:val="3"/>
        </w:numPr>
        <w:spacing w:after="80" w:line="340"/>
        <w:jc w:val="both"/>
      </w:pPr>
      <w:r>
        <w:rPr>
          <w:rFonts w:ascii="Times New Roman" w:cs="Times New Roman" w:eastAsia="Times New Roman" w:hAnsi="Times New Roman"/>
          <w:b/>
          <w:bCs/>
          <w:i w:val="false"/>
          <w:iCs w:val="false"/>
        </w:rPr>
        <w:t xml:space="preserve">A decisão de fls. 3066 decidiu o que declarou não poder decidir</w:t>
      </w:r>
      <w:r>
        <w:rPr>
          <w:rFonts w:ascii="Times New Roman" w:cs="Times New Roman" w:eastAsia="Times New Roman" w:hAnsi="Times New Roman"/>
          <w:b w:val="false"/>
          <w:bCs w:val="false"/>
          <w:i w:val="false"/>
          <w:iCs w:val="false"/>
        </w:rPr>
        <w:t xml:space="preserve">: transcrição lado a lado de 3065 e 3066; arts. 1.022, 9º, 10, 505; AI 2236642 ("única tese"; "indevida inovação").</w:t>
      </w:r>
    </w:p>
    <w:p>
      <w:pPr>
        <w:pStyle w:val="ListParagraph"/>
        <w:numPr>
          <w:ilvl w:val="0"/>
          <w:numId w:val="3"/>
        </w:numPr>
        <w:spacing w:after="80" w:line="340"/>
        <w:jc w:val="both"/>
      </w:pPr>
      <w:r>
        <w:rPr>
          <w:rFonts w:ascii="Times New Roman" w:cs="Times New Roman" w:eastAsia="Times New Roman" w:hAnsi="Times New Roman"/>
          <w:b/>
          <w:bCs/>
          <w:i w:val="false"/>
          <w:iCs w:val="false"/>
        </w:rPr>
        <w:t xml:space="preserve">Critério não é erro material; ordem pública preclui</w:t>
      </w:r>
      <w:r>
        <w:rPr>
          <w:rFonts w:ascii="Times New Roman" w:cs="Times New Roman" w:eastAsia="Times New Roman" w:hAnsi="Times New Roman"/>
          <w:b w:val="false"/>
          <w:bCs w:val="false"/>
          <w:i w:val="false"/>
          <w:iCs w:val="false"/>
        </w:rPr>
        <w:t xml:space="preserve">: EDcl/EREsp 1.229.406; 2.127.021; 2.500.976; 2.019.623; 1.861.550; AI 2250267 e 2401202 (TJSP). Distinção do REsp 148.938.</w:t>
      </w:r>
    </w:p>
    <w:p>
      <w:pPr>
        <w:pStyle w:val="ListParagraph"/>
        <w:numPr>
          <w:ilvl w:val="0"/>
          <w:numId w:val="3"/>
        </w:numPr>
        <w:spacing w:after="80" w:line="340"/>
        <w:jc w:val="both"/>
      </w:pPr>
      <w:r>
        <w:rPr>
          <w:rFonts w:ascii="Times New Roman" w:cs="Times New Roman" w:eastAsia="Times New Roman" w:hAnsi="Times New Roman"/>
          <w:b/>
          <w:bCs/>
          <w:i w:val="false"/>
          <w:iCs w:val="false"/>
        </w:rPr>
        <w:t xml:space="preserve">Cumprir ordem não é aquiescer</w:t>
      </w:r>
      <w:r>
        <w:rPr>
          <w:rFonts w:ascii="Times New Roman" w:cs="Times New Roman" w:eastAsia="Times New Roman" w:hAnsi="Times New Roman"/>
          <w:b w:val="false"/>
          <w:bCs w:val="false"/>
          <w:i w:val="false"/>
          <w:iCs w:val="false"/>
        </w:rPr>
        <w:t xml:space="preserve">: 1932/1933 (14/03/2024), 3066 e 3082/3084; art. 1.000, p.u.; REsp 2.018.575; EDcl REsp 2.178.097; REsp 1.655.655.</w:t>
      </w:r>
    </w:p>
    <w:p>
      <w:pPr>
        <w:pStyle w:val="ListParagraph"/>
        <w:numPr>
          <w:ilvl w:val="0"/>
          <w:numId w:val="3"/>
        </w:numPr>
        <w:spacing w:after="80" w:line="340"/>
        <w:jc w:val="both"/>
      </w:pPr>
      <w:r>
        <w:rPr>
          <w:rFonts w:ascii="Times New Roman" w:cs="Times New Roman" w:eastAsia="Times New Roman" w:hAnsi="Times New Roman"/>
          <w:b/>
          <w:bCs/>
          <w:i w:val="false"/>
          <w:iCs w:val="false"/>
        </w:rPr>
        <w:t xml:space="preserve">As planilhas desde 1987 e a "mera liberalidade" do Santander</w:t>
      </w:r>
      <w:r>
        <w:rPr>
          <w:rFonts w:ascii="Times New Roman" w:cs="Times New Roman" w:eastAsia="Times New Roman" w:hAnsi="Times New Roman"/>
          <w:b w:val="false"/>
          <w:bCs w:val="false"/>
          <w:i w:val="false"/>
          <w:iCs w:val="false"/>
        </w:rPr>
        <w:t xml:space="preserve"> (2137/2139): renúncia estrita, não homologada; nenhuma planilha foi homologada (3041); confissões do executado (1419/1421; 1483).</w:t>
      </w:r>
    </w:p>
    <w:p>
      <w:pPr>
        <w:pStyle w:val="ListParagraph"/>
        <w:numPr>
          <w:ilvl w:val="0"/>
          <w:numId w:val="3"/>
        </w:numPr>
        <w:spacing w:after="80" w:line="340"/>
        <w:jc w:val="both"/>
      </w:pPr>
      <w:r>
        <w:rPr>
          <w:rFonts w:ascii="Times New Roman" w:cs="Times New Roman" w:eastAsia="Times New Roman" w:hAnsi="Times New Roman"/>
          <w:b/>
          <w:bCs/>
          <w:i w:val="false"/>
          <w:iCs w:val="false"/>
        </w:rPr>
        <w:t xml:space="preserve">Coerência da Câmara (art. 926)</w:t>
      </w:r>
      <w:r>
        <w:rPr>
          <w:rFonts w:ascii="Times New Roman" w:cs="Times New Roman" w:eastAsia="Times New Roman" w:hAnsi="Times New Roman"/>
          <w:b w:val="false"/>
          <w:bCs w:val="false"/>
          <w:i w:val="false"/>
          <w:iCs w:val="false"/>
        </w:rPr>
        <w:t xml:space="preserve">: AI 2353386 ("preclusão pro iudicato", "retrocesso indevido"); AI 2236642.</w:t>
      </w:r>
    </w:p>
    <w:p>
      <w:pPr>
        <w:pStyle w:val="ListParagraph"/>
        <w:numPr>
          <w:ilvl w:val="0"/>
          <w:numId w:val="3"/>
        </w:numPr>
        <w:spacing w:after="80" w:line="340"/>
        <w:jc w:val="both"/>
      </w:pPr>
      <w:r>
        <w:rPr>
          <w:rFonts w:ascii="Times New Roman" w:cs="Times New Roman" w:eastAsia="Times New Roman" w:hAnsi="Times New Roman"/>
          <w:b/>
          <w:bCs/>
          <w:i w:val="false"/>
          <w:iCs w:val="false"/>
        </w:rPr>
        <w:t xml:space="preserve">Não há anatocismo pós-1995</w:t>
      </w:r>
      <w:r>
        <w:rPr>
          <w:rFonts w:ascii="Times New Roman" w:cs="Times New Roman" w:eastAsia="Times New Roman" w:hAnsi="Times New Roman"/>
          <w:b w:val="false"/>
          <w:bCs w:val="false"/>
          <w:i w:val="false"/>
          <w:iCs w:val="false"/>
        </w:rPr>
        <w:t xml:space="preserve">: fls. 3419 (juros simples desde 05/10/1995); DL 413, art. 5º e 11, § 2º; Súmula 93; REsp 31.025.</w:t>
      </w:r>
    </w:p>
    <w:p>
      <w:pPr>
        <w:pStyle w:val="ListParagraph"/>
        <w:numPr>
          <w:ilvl w:val="0"/>
          <w:numId w:val="3"/>
        </w:numPr>
        <w:spacing w:after="80" w:line="340"/>
        <w:jc w:val="both"/>
      </w:pPr>
      <w:r>
        <w:rPr>
          <w:rFonts w:ascii="Times New Roman" w:cs="Times New Roman" w:eastAsia="Times New Roman" w:hAnsi="Times New Roman"/>
          <w:b/>
          <w:bCs/>
          <w:i w:val="false"/>
          <w:iCs w:val="false"/>
        </w:rPr>
        <w:t xml:space="preserve">Honorários</w:t>
      </w:r>
      <w:r>
        <w:rPr>
          <w:rFonts w:ascii="Times New Roman" w:cs="Times New Roman" w:eastAsia="Times New Roman" w:hAnsi="Times New Roman"/>
          <w:b w:val="false"/>
          <w:bCs w:val="false"/>
          <w:i w:val="false"/>
          <w:iCs w:val="false"/>
        </w:rPr>
        <w:t xml:space="preserve">: sentença dos embargos (juntar); 1419/1421; 1483; 180/134; retificação sobre fls. 52; subsidiário: 10% sobre o débito (39/12; 31/06).</w:t>
      </w:r>
    </w:p>
    <w:p>
      <w:pPr>
        <w:pStyle w:val="ListParagraph"/>
        <w:numPr>
          <w:ilvl w:val="0"/>
          <w:numId w:val="3"/>
        </w:numPr>
        <w:spacing w:after="80" w:line="340"/>
        <w:jc w:val="both"/>
      </w:pPr>
      <w:r>
        <w:rPr>
          <w:rFonts w:ascii="Times New Roman" w:cs="Times New Roman" w:eastAsia="Times New Roman" w:hAnsi="Times New Roman"/>
          <w:b/>
          <w:bCs/>
          <w:i w:val="false"/>
          <w:iCs w:val="false"/>
        </w:rPr>
        <w:t xml:space="preserve">Cessão</w:t>
      </w:r>
      <w:r>
        <w:rPr>
          <w:rFonts w:ascii="Times New Roman" w:cs="Times New Roman" w:eastAsia="Times New Roman" w:hAnsi="Times New Roman"/>
          <w:b w:val="false"/>
          <w:bCs w:val="false"/>
          <w:i w:val="false"/>
          <w:iCs w:val="false"/>
        </w:rPr>
        <w:t xml:space="preserve"> (só se a contraminuta suscitar): 655/660 (537/542); REsp 1.984.424; art. 893 CC; Tema 361; os exequentes não cobram encargos pós-1995 (3043).</w:t>
      </w:r>
    </w:p>
    <w:p>
      <w:pPr>
        <w:pStyle w:val="ListParagraph"/>
        <w:numPr>
          <w:ilvl w:val="0"/>
          <w:numId w:val="3"/>
        </w:numPr>
        <w:spacing w:after="80" w:line="340"/>
        <w:jc w:val="both"/>
      </w:pPr>
      <w:r>
        <w:rPr>
          <w:rFonts w:ascii="Times New Roman" w:cs="Times New Roman" w:eastAsia="Times New Roman" w:hAnsi="Times New Roman"/>
          <w:b/>
          <w:bCs/>
          <w:i w:val="false"/>
          <w:iCs w:val="false"/>
        </w:rPr>
        <w:t xml:space="preserve">Pedidos</w:t>
      </w:r>
      <w:r>
        <w:rPr>
          <w:rFonts w:ascii="Times New Roman" w:cs="Times New Roman" w:eastAsia="Times New Roman" w:hAnsi="Times New Roman"/>
          <w:b w:val="false"/>
          <w:bCs w:val="false"/>
          <w:i w:val="false"/>
          <w:iCs w:val="false"/>
        </w:rPr>
        <w:t xml:space="preserve">: (a) provimento para reformar 3435/3437 e reconhecer a base de 05/10/1995 (R$ 5.256.733,85 + multa 10% + honorários), com perícia na origem; (b) subsidiário: perícia com decomposição do saldo de 1995 (capital x mora) e juros legais só sobre o capital; (c) desistência do pedido "f"; (d) juntada de documentos (art. 435) com vista à parte contrária (art. 437, § 1º).</w:t>
      </w:r>
    </w:p>
    <w:p>
      <w:pPr>
        <w:pStyle w:val="Heading1"/>
        <w:keepNext/>
      </w:pPr>
      <w:r>
        <w:rPr>
          <w:rFonts w:ascii="Times New Roman" w:cs="Times New Roman" w:eastAsia="Times New Roman" w:hAnsi="Times New Roman"/>
        </w:rPr>
        <w:t xml:space="preserve">Páginas lidas / não verificado</w:t>
      </w:r>
    </w:p>
    <w:p>
      <w:pPr>
        <w:spacing w:after="120" w:line="360"/>
        <w:jc w:val="both"/>
      </w:pPr>
      <w:r>
        <w:rPr>
          <w:rFonts w:ascii="Times New Roman" w:cs="Times New Roman" w:eastAsia="Times New Roman" w:hAnsi="Times New Roman"/>
          <w:b w:val="false"/>
          <w:bCs w:val="false"/>
          <w:i w:val="false"/>
          <w:iCs w:val="false"/>
        </w:rPr>
        <w:t xml:space="preserve">Páginas lidas por arquivo: ver a tabela inicial. </w:t>
      </w:r>
      <w:r>
        <w:rPr>
          <w:rFonts w:ascii="Times New Roman" w:cs="Times New Roman" w:eastAsia="Times New Roman" w:hAnsi="Times New Roman"/>
          <w:b/>
          <w:bCs/>
          <w:i w:val="false"/>
          <w:iCs w:val="false"/>
        </w:rPr>
        <w:t xml:space="preserve">Não consegui verificar:</w:t>
      </w:r>
      <w:r>
        <w:rPr>
          <w:rFonts w:ascii="Times New Roman" w:cs="Times New Roman" w:eastAsia="Times New Roman" w:hAnsi="Times New Roman"/>
          <w:b w:val="false"/>
          <w:bCs w:val="false"/>
          <w:i w:val="false"/>
          <w:iCs w:val="false"/>
        </w:rPr>
        <w:t xml:space="preserve"> fls. 27-30, 32-38, 41-51 (só rendidas, não lidas); 116 de 119 páginas de "pag 55 a 173"; fls. 166/167; fls. 185/186 (habilitação Bradesco); fls. 205 a 900 (nenhum arquivo cobre); fls. 651; 771/785; 1500/1505 (imagem); 1924/1931 (AREsp na CP); 2140/2200 (cópias juntadas pelo Santander); 3404 (fim do acórdão); contraminuta; apelação 0017993-79.2012; sentença e acórdão dos embargos 0015252; Resolução 549/2011 e RITJSP; os seis julgados do grupo 2 de faltantes. Tudo o que está marcado 🟩 foi conferido em imagem ou em texto com camada verificada; o que está 🟨 depende desses itens.</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SÍNTESE FINAL (enviada no chat em 27/09/2026)</w:t>
      </w:r>
    </w:p>
    <w:p>
      <w:pPr>
        <w:spacing w:after="120" w:line="360"/>
        <w:jc w:val="both"/>
      </w:pPr>
      <w:r>
        <w:rPr>
          <w:rFonts w:ascii="Times New Roman" w:cs="Times New Roman" w:eastAsia="Times New Roman" w:hAnsi="Times New Roman"/>
          <w:b/>
          <w:bCs/>
          <w:i w:val="false"/>
          <w:iCs w:val="false"/>
        </w:rPr>
        <w:t xml:space="preserve">Os cinco achados que mudam a estratégia</w:t>
      </w:r>
    </w:p>
    <w:p>
      <w:pPr>
        <w:pStyle w:val="ListParagraph"/>
        <w:numPr>
          <w:ilvl w:val="0"/>
          <w:numId w:val="4"/>
        </w:numPr>
        <w:spacing w:after="80" w:line="340"/>
        <w:jc w:val="both"/>
      </w:pPr>
      <w:r>
        <w:rPr>
          <w:rFonts w:ascii="Times New Roman" w:cs="Times New Roman" w:eastAsia="Times New Roman" w:hAnsi="Times New Roman"/>
          <w:b w:val="false"/>
          <w:bCs w:val="false"/>
          <w:i w:val="false"/>
          <w:iCs w:val="false"/>
        </w:rPr>
        <w:t xml:space="preserve">🟥 A premissa "a base sempre foi a conta de 1995" não se sustenta nos autos. Todas as planilhas lidas partem de Cz$ 1.210.000,00 em maio/1987: Santander em 2007 (fls. 2137/2139 e-SAJ, CP 600/602 / 148/150 física) e 2009 (fls. 2402/2403), cessionários em 2019 (fls. 2885), 19/04/2024 (fls. 1948) e 04/06/2025 (fls. 3078). O Santander escreveu em 2007: "inobstante a existência de decisão homologada nos autos principais (…) por mera liberalidade, optou o credor" por calcular desde 1987. A única invocação da base de 1995 antes de 2026 é a resposta à exceção de 16/09/2024 (fls. 1538). O pedido de homologar R$ 185 milhões precisa ser abandonado; o pedido viável é "base de 1995 + perícia na origem".</w:t>
      </w:r>
    </w:p>
    <w:p>
      <w:pPr>
        <w:pStyle w:val="ListParagraph"/>
        <w:numPr>
          <w:ilvl w:val="0"/>
          <w:numId w:val="4"/>
        </w:numPr>
        <w:spacing w:after="80" w:line="340"/>
        <w:jc w:val="both"/>
      </w:pPr>
      <w:r>
        <w:rPr>
          <w:rFonts w:ascii="Times New Roman" w:cs="Times New Roman" w:eastAsia="Times New Roman" w:hAnsi="Times New Roman"/>
          <w:b w:val="false"/>
          <w:bCs w:val="false"/>
          <w:i w:val="false"/>
          <w:iCs w:val="false"/>
        </w:rPr>
        <w:t xml:space="preserve">🟩 A origem dos 20% de honorários é a sentença dos Embargos à Execução (03/05/1991), e o próprio executado confessou isso (fls. 1419/1421 e-SAJ). Fls. 52 é ilegível e três documentos coevos (cédula, inicial, mandado) dizem 10%. A afirmação do agravo sobre fls. 52 deve ser retificada nos memoriais.</w:t>
      </w:r>
    </w:p>
    <w:p>
      <w:pPr>
        <w:pStyle w:val="ListParagraph"/>
        <w:numPr>
          <w:ilvl w:val="0"/>
          <w:numId w:val="4"/>
        </w:numPr>
        <w:spacing w:after="80" w:line="340"/>
        <w:jc w:val="both"/>
      </w:pPr>
      <w:r>
        <w:rPr>
          <w:rFonts w:ascii="Times New Roman" w:cs="Times New Roman" w:eastAsia="Times New Roman" w:hAnsi="Times New Roman"/>
          <w:b w:val="false"/>
          <w:bCs w:val="false"/>
          <w:i w:val="false"/>
          <w:iCs w:val="false"/>
        </w:rPr>
        <w:t xml:space="preserve">🟩 A contradição interna de fls. 3064/3066 é literal: o juiz declarou a matéria "nova" e "imprópria a via" e, no mesmo ato, decidiu-a de ofício no item 2.</w:t>
      </w:r>
    </w:p>
    <w:p>
      <w:pPr>
        <w:pStyle w:val="ListParagraph"/>
        <w:numPr>
          <w:ilvl w:val="0"/>
          <w:numId w:val="4"/>
        </w:numPr>
        <w:spacing w:after="80" w:line="340"/>
        <w:jc w:val="both"/>
      </w:pPr>
      <w:r>
        <w:rPr>
          <w:rFonts w:ascii="Times New Roman" w:cs="Times New Roman" w:eastAsia="Times New Roman" w:hAnsi="Times New Roman"/>
          <w:b w:val="false"/>
          <w:bCs w:val="false"/>
          <w:i w:val="false"/>
          <w:iCs w:val="false"/>
        </w:rPr>
        <w:t xml:space="preserve">🟩 A jurisprudência do STJ sobre "erro material x critério" é uniforme e favorável (EDcl e EREsp 1.229.406/SP; AgInt no REsp 2.127.021/DF; AgInt no AREsp 2.500.976/PR). Dois arquivos do Drive estão trocados: "AgInt no AgInt no AREsp 1539138" contém fls. 786/790 dos autos, e "Registro 2021-0000902160 NAO PODE COBRAR JUROS" diz o oposto do título.</w:t>
      </w:r>
    </w:p>
    <w:p>
      <w:pPr>
        <w:pStyle w:val="ListParagraph"/>
        <w:numPr>
          <w:ilvl w:val="0"/>
          <w:numId w:val="4"/>
        </w:numPr>
        <w:spacing w:after="80" w:line="340"/>
        <w:jc w:val="both"/>
      </w:pPr>
      <w:r>
        <w:rPr>
          <w:rFonts w:ascii="Times New Roman" w:cs="Times New Roman" w:eastAsia="Times New Roman" w:hAnsi="Times New Roman"/>
          <w:b w:val="false"/>
          <w:bCs w:val="false"/>
          <w:i w:val="false"/>
          <w:iCs w:val="false"/>
        </w:rPr>
        <w:t xml:space="preserve">🟨 Ponto fraco real da conta de 1995: mora de 1% ao mês capitalizada, quando o DL 413/69, art. 5º, parágrafo único, limita a elevação a 1% ao ano. Defesa: critério preclusão, não erro material.</w:t>
      </w:r>
    </w:p>
    <w:p>
      <w:pPr>
        <w:spacing w:after="120" w:line="360"/>
        <w:jc w:val="both"/>
      </w:pPr>
      <w:r>
        <w:rPr>
          <w:rFonts w:ascii="Times New Roman" w:cs="Times New Roman" w:eastAsia="Times New Roman" w:hAnsi="Times New Roman"/>
          <w:b/>
          <w:bCs/>
          <w:i w:val="false"/>
          <w:iCs w:val="false"/>
        </w:rPr>
        <w:t xml:space="preserve">Itens pendentes para fechar os 🟨:</w:t>
      </w:r>
      <w:r>
        <w:rPr>
          <w:rFonts w:ascii="Times New Roman" w:cs="Times New Roman" w:eastAsia="Times New Roman" w:hAnsi="Times New Roman"/>
          <w:b w:val="false"/>
          <w:bCs w:val="false"/>
          <w:i w:val="false"/>
          <w:iCs w:val="false"/>
        </w:rPr>
        <w:t xml:space="preserve"> contraminuta; sentença e acórdão dos Embargos 0015252 (fls. ~2140/2160 e-SAJ ou fls. 32/47 e 85 dos embargos digitalizados); fls. 3404; fls. 651, 655/673, 771/785, 1924/1931 e 1500/1505; arquivo correto do AREsp 1.539.138 e os julgados 1.455.741, 1.851.737, AI 2181564-67.2026 e AI 2297076-69.2024; Apelação 0017993-79.2012; Resolução TJSP 549/2011; leitura completa de "pag 55 a 173".</w:t>
      </w:r>
    </w:p>
    <w:sectPr>
      <w:headerReference w:type="default" r:id="rId7"/>
      <w:footerReference w:type="default" r:id="rId8"/>
      <w:pgSz w:w="11906" w:h="16838" w:orient="portrait"/>
      <w:pgMar w:top="1701" w:right="1134" w:bottom="1134" w:left="1701" w:header="709"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8"/>
        <w:szCs w:val="18"/>
      </w:rPr>
      <w:t xml:space="preserve">Documento de trabalho — uso restrito da parte e de seu advogado   |   Página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 de </w:t>
    </w:r>
    <w:r>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2"/>
      </w:pBdr>
      <w:jc w:val="right"/>
    </w:pPr>
    <w:r>
      <w:rPr>
        <w:rFonts w:ascii="Times New Roman" w:cs="Times New Roman" w:eastAsia="Times New Roman" w:hAnsi="Times New Roman"/>
        <w:color w:val="595959"/>
        <w:sz w:val="18"/>
        <w:szCs w:val="18"/>
      </w:rPr>
      <w:t xml:space="preserve">Auditoria pente-fino para memoriais — AI nº 2186351-42.2026.8.26.0000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lvl w:ilvl="2" w15:tentative="1">
      <w:start w:val="1"/>
      <w:numFmt w:val="bullet"/>
      <w:lvlText w:val="▪"/>
      <w:lvlJc w:val="left"/>
      <w:pPr>
        <w:ind w:left="1701" w:hanging="283"/>
      </w:pPr>
    </w:lvl>
  </w:abstractNum>
  <w:abstractNum w:abstractNumId="3" w15:restartNumberingAfterBreak="0">
    <w:multiLevelType w:val="hybridMultilevel"/>
    <w:lvl w:ilvl="0" w15:tentative="1">
      <w:start w:val="1"/>
      <w:numFmt w:val="decimal"/>
      <w:lvlText w:val="%1."/>
      <w:lvlJc w:val="left"/>
      <w:pPr>
        <w:ind w:left="567" w:hanging="360"/>
      </w:pPr>
    </w:lvl>
    <w:lvl w:ilvl="1" w15:tentative="1">
      <w:start w:val="1"/>
      <w:numFmt w:val="lowerLetter"/>
      <w:lvlText w:val="%2."/>
      <w:lvlJc w:val="left"/>
      <w:pPr>
        <w:ind w:left="1134" w:hanging="360"/>
      </w:pPr>
    </w:lvl>
    <w:lvl w:ilvl="2" w15:tentative="1">
      <w:start w:val="1"/>
      <w:numFmt w:val="lowerRoman"/>
      <w:lvlText w:val="%3."/>
      <w:lvlJc w:val="left"/>
      <w:pPr>
        <w:ind w:left="1701" w:hanging="360"/>
      </w:pPr>
    </w:lvl>
  </w:abstractNum>
  <w:abstractNum w:abstractNumId="4" w15:restartNumberingAfterBreak="0">
    <w:multiLevelType w:val="hybridMultilevel"/>
    <w:lvl w:ilvl="0" w15:tentative="1">
      <w:start w:val="1"/>
      <w:numFmt w:val="decimal"/>
      <w:lvlText w:val="%1."/>
      <w:lvlJc w:val="left"/>
      <w:pPr>
        <w:ind w:left="567" w:hanging="360"/>
      </w:pPr>
    </w:lvl>
    <w:lvl w:ilvl="1" w15:tentative="1">
      <w:start w:val="1"/>
      <w:numFmt w:val="lowerLetter"/>
      <w:lvlText w:val="%2."/>
      <w:lvlJc w:val="left"/>
      <w:pPr>
        <w:ind w:left="1134" w:hanging="360"/>
      </w:pPr>
    </w:lvl>
    <w:lvl w:ilvl="2" w15:tentative="1">
      <w:start w:val="1"/>
      <w:numFmt w:val="lowerRoman"/>
      <w:lvlText w:val="%3."/>
      <w:lvlJc w:val="left"/>
      <w:pPr>
        <w:ind w:left="1701"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2"/>
      </w:pBdr>
      <w:spacing w:after="180" w:before="360"/>
      <w:outlineLvl w:val="0"/>
    </w:pPr>
    <w:rPr>
      <w:rFonts w:ascii="Times New Roman" w:cs="Times New Roman" w:eastAsia="Times New Roman" w:hAnsi="Times New Roman"/>
      <w:b/>
      <w:bCs/>
      <w:color w:val="1F3864"/>
      <w:sz w:val="26"/>
      <w:szCs w:val="26"/>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4"/>
      <w:szCs w:val="24"/>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Parecer de Auditoria Jurídico-Processual — AI 2186351-42.2026.8.26.0000</dc:title>
  <dc:creator>Parecer técnico</dc:creator>
  <cp:lastModifiedBy>Un-named</cp:lastModifiedBy>
  <cp:revision>1</cp:revision>
  <dcterms:created xsi:type="dcterms:W3CDTF">2026-09-27T23:51:13.409Z</dcterms:created>
  <dcterms:modified xsi:type="dcterms:W3CDTF">2026-09-27T23:51:13.422Z</dcterms:modified>
</cp:coreProperties>
</file>

<file path=docProps/custom.xml><?xml version="1.0" encoding="utf-8"?>
<Properties xmlns="http://schemas.openxmlformats.org/officeDocument/2006/custom-properties" xmlns:vt="http://schemas.openxmlformats.org/officeDocument/2006/docPropsVTypes"/>
</file>