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PENTE-FINO PARA MEMORIAIS — AI 2186351-42.2026.8.26.0000 — versão 4</w:t>
      </w:r>
    </w:p>
    <w:p>
      <w:pPr>
        <w:spacing w:after="40" w:line="276"/>
        <w:jc w:val="center"/>
      </w:pPr>
      <w:r>
        <w:rPr>
          <w:rFonts w:ascii="Times New Roman" w:cs="Times New Roman" w:eastAsia="Times New Roman" w:hAnsi="Times New Roman"/>
          <w:b/>
          <w:bCs/>
          <w:i w:val="false"/>
          <w:iCs w:val="false"/>
        </w:rPr>
        <w:t xml:space="preserve">Claude Opus 5.5 (Anthropic) | Data: 28/09/2026 | Hora: 10:13:33 (Brasília) | Chat: Auditoria EPE Ourinhos</w:t>
      </w:r>
    </w:p>
    <w:p>
      <w:pPr>
        <w:spacing w:after="40" w:line="276"/>
        <w:jc w:val="center"/>
      </w:pPr>
      <w:r>
        <w:rPr>
          <w:rFonts w:ascii="Times New Roman" w:cs="Times New Roman" w:eastAsia="Times New Roman" w:hAnsi="Times New Roman"/>
          <w:b/>
          <w:bCs/>
          <w:i w:val="false"/>
          <w:iCs w:val="false"/>
        </w:rPr>
        <w:t xml:space="preserve">Alterações da v4 (28/09/2026):</w:t>
      </w:r>
      <w:r>
        <w:rPr>
          <w:rFonts w:ascii="Times New Roman" w:cs="Times New Roman" w:eastAsia="Times New Roman" w:hAnsi="Times New Roman"/>
          <w:b w:val="false"/>
          <w:bCs w:val="false"/>
          <w:i w:val="false"/>
          <w:iCs w:val="false"/>
        </w:rPr>
        <w:t xml:space="preserve"> (i) </w:t>
      </w:r>
      <w:r>
        <w:rPr>
          <w:rFonts w:ascii="Times New Roman" w:cs="Times New Roman" w:eastAsia="Times New Roman" w:hAnsi="Times New Roman"/>
          <w:b/>
          <w:bCs/>
          <w:i w:val="false"/>
          <w:iCs w:val="false"/>
        </w:rPr>
        <w:t xml:space="preserve">localizados e lidos em imagem a sentença e o acórdão dos Embargos à Execução</w:t>
      </w:r>
      <w:r>
        <w:rPr>
          <w:rFonts w:ascii="Times New Roman" w:cs="Times New Roman" w:eastAsia="Times New Roman" w:hAnsi="Times New Roman"/>
          <w:b w:val="false"/>
          <w:bCs w:val="false"/>
          <w:i w:val="false"/>
          <w:iCs w:val="false"/>
        </w:rPr>
        <w:t xml:space="preserve"> (fls. 2144/2184 e-SAJ, cópias na Carta Precatória), o que cria o novo </w:t>
      </w:r>
      <w:r>
        <w:rPr>
          <w:rFonts w:ascii="Times New Roman" w:cs="Times New Roman" w:eastAsia="Times New Roman" w:hAnsi="Times New Roman"/>
          <w:b/>
          <w:bCs/>
          <w:i w:val="false"/>
          <w:iCs w:val="false"/>
        </w:rPr>
        <w:t xml:space="preserve">Bloco J</w:t>
      </w:r>
      <w:r>
        <w:rPr>
          <w:rFonts w:ascii="Times New Roman" w:cs="Times New Roman" w:eastAsia="Times New Roman" w:hAnsi="Times New Roman"/>
          <w:b w:val="false"/>
          <w:bCs w:val="false"/>
          <w:i w:val="false"/>
          <w:iCs w:val="false"/>
        </w:rPr>
        <w:t xml:space="preserve"> e altera os Blocos A, B e C; (ii) lidas as fls. 3404/3406 e-SAJ, fim do acórdão do AI 2353386; (iii) lidos na íntegra o REsp 1.995.565/SP e o AgInt no REsp 1.455.741/DF; (iv) conferido o RITJSP, art. 146, no texto oficial compilado; (v) arts. 11 e 12 da Resolução TJSP 984/2025 confirmados por comunicado oficial do TJSP (o arquivo da Resolução no Drive está vazio, com 0 byte); (vi) conferidas as transcrições do Claude Haiku 4.5 e do ChatGPT (fls. 185/186, 651, 655/673, 771/785, 1500/1505, 1924/1931, 2140/2184, 3404/3406).</w:t>
      </w:r>
    </w:p>
    <w:p>
      <w:pPr>
        <w:spacing w:after="40" w:line="276"/>
        <w:jc w:val="center"/>
      </w:pPr>
      <w:r>
        <w:rPr>
          <w:rFonts w:ascii="Times New Roman" w:cs="Times New Roman" w:eastAsia="Times New Roman" w:hAnsi="Times New Roman"/>
          <w:b/>
          <w:bCs/>
          <w:i w:val="false"/>
          <w:iCs w:val="false"/>
        </w:rPr>
        <w:t xml:space="preserve">Alterações da v3 (28/09/2026):</w:t>
      </w:r>
      <w:r>
        <w:rPr>
          <w:rFonts w:ascii="Times New Roman" w:cs="Times New Roman" w:eastAsia="Times New Roman" w:hAnsi="Times New Roman"/>
          <w:b w:val="false"/>
          <w:bCs w:val="false"/>
          <w:i w:val="false"/>
          <w:iCs w:val="false"/>
        </w:rPr>
        <w:t xml:space="preserve"> (i) leitura integral dos três julgados novos do Drive: TJSP AI 2181564-67.2026, AI 2297076-69.2024 e EDcl 0114335-38.2025.8.26.9061; (ii) confirmação de que a Resolução TJSP 984/2025 revogou as Resoluções 549/2011, 772/2017 e 903/2023, o que reescreve o G1; (iii) releitura da fls. 52 e-SAJ / 23 física, com achado novo no B1; (iv) leitura integral do REsp 1.538.235/DF (presente no Drive), que é </w:t>
      </w:r>
      <w:r>
        <w:rPr>
          <w:rFonts w:ascii="Times New Roman" w:cs="Times New Roman" w:eastAsia="Times New Roman" w:hAnsi="Times New Roman"/>
          <w:b/>
          <w:bCs/>
          <w:i w:val="false"/>
          <w:iCs w:val="false"/>
        </w:rPr>
        <w:t xml:space="preserve">contrário</w:t>
      </w:r>
      <w:r>
        <w:rPr>
          <w:rFonts w:ascii="Times New Roman" w:cs="Times New Roman" w:eastAsia="Times New Roman" w:hAnsi="Times New Roman"/>
          <w:b w:val="false"/>
          <w:bCs w:val="false"/>
          <w:i w:val="false"/>
          <w:iCs w:val="false"/>
        </w:rPr>
        <w:t xml:space="preserve">; (v) novo </w:t>
      </w:r>
      <w:r>
        <w:rPr>
          <w:rFonts w:ascii="Times New Roman" w:cs="Times New Roman" w:eastAsia="Times New Roman" w:hAnsi="Times New Roman"/>
          <w:b/>
          <w:bCs/>
          <w:i w:val="false"/>
          <w:iCs w:val="false"/>
        </w:rPr>
        <w:t xml:space="preserve">Bloco I</w:t>
      </w:r>
      <w:r>
        <w:rPr>
          <w:rFonts w:ascii="Times New Roman" w:cs="Times New Roman" w:eastAsia="Times New Roman" w:hAnsi="Times New Roman"/>
          <w:b w:val="false"/>
          <w:bCs w:val="false"/>
          <w:i w:val="false"/>
          <w:iCs w:val="false"/>
        </w:rPr>
        <w:t xml:space="preserve">, com a conferência ponto a ponto da auditoria produzida pelo Gemini 1.5 Pro em 27/09/2026.</w:t>
      </w:r>
    </w:p>
    <w:p>
      <w:pPr>
        <w:spacing w:after="40" w:line="276"/>
        <w:jc w:val="center"/>
      </w:pPr>
      <w:r>
        <w:rPr>
          <w:rFonts w:ascii="Times New Roman" w:cs="Times New Roman" w:eastAsia="Times New Roman" w:hAnsi="Times New Roman"/>
          <w:b/>
          <w:bCs/>
          <w:i w:val="false"/>
          <w:iCs w:val="false"/>
        </w:rPr>
        <w:t xml:space="preserve">Alterações da v2 (27/09/2026):</w:t>
      </w:r>
      <w:r>
        <w:rPr>
          <w:rFonts w:ascii="Times New Roman" w:cs="Times New Roman" w:eastAsia="Times New Roman" w:hAnsi="Times New Roman"/>
          <w:b w:val="false"/>
          <w:bCs w:val="false"/>
          <w:i w:val="false"/>
          <w:iCs w:val="false"/>
        </w:rPr>
        <w:t xml:space="preserve"> leitura integral de "pag 55 a 173" (119 de 119 páginas); leitura dos cinco julgados novos (Apelação 0017993-79.2012; AREsp 1.539.138/SP e AgInt; AI 2143351-60.2024; EDcl Ap. 0019853-52.2024). Blocos reescritos: A6, B2, B3, B6, E2, G1, H4, H5, tabela de arquivos, faltantes e jurisprudência.</w:t>
      </w:r>
    </w:p>
    <w:p>
      <w:pPr>
        <w:pStyle w:val="Heading1"/>
        <w:keepNext/>
      </w:pPr>
      <w:r>
        <w:rPr>
          <w:rFonts w:ascii="Times New Roman" w:cs="Times New Roman" w:eastAsia="Times New Roman" w:hAnsi="Times New Roman"/>
        </w:rPr>
        <w:t xml:space="preserve">Arquivos recebidos e status de leitura</w:t>
      </w:r>
    </w:p>
    <w:p>
      <w:pPr>
        <w:spacing w:after="120" w:line="360"/>
        <w:jc w:val="both"/>
      </w:pPr>
      <w:r>
        <w:rPr>
          <w:rFonts w:ascii="Times New Roman" w:cs="Times New Roman" w:eastAsia="Times New Roman" w:hAnsi="Times New Roman"/>
          <w:b w:val="false"/>
          <w:bCs w:val="false"/>
          <w:i w:val="false"/>
          <w:iCs w:val="false"/>
        </w:rPr>
        <w:t xml:space="preserve">Fonte principal: pasta "Chavantes 84 alqueires" no Google Drive. "Pág. PDF/e-SAJ" = número "fls. N" impresso pelo e-SAJ; "física" = carimbo manuscrito do 3º Ofício.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
        <w:gridCol w:w="2591"/>
        <w:gridCol w:w="950"/>
        <w:gridCol w:w="2591"/>
        <w:gridCol w:w="2594"/>
      </w:tblGrid>
      <w:tr>
        <w:trPr>
          <w:cantSplit/>
          <w:tblHeader/>
        </w:trPr>
        <w:tc>
          <w:tcPr>
            <w:tcW w:type="dxa" w:w="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Páginas</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Lidas</w:t>
            </w:r>
          </w:p>
        </w:tc>
        <w:tc>
          <w:tcPr>
            <w:tcW w:type="dxa" w:w="259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DEF O 4.8 84.27 ALQUEIRES CHAV - PETICIONADA jm.txt (decisão agravada, petição do executado, agravo, parecer Fred)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1.593 linhas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27 a 55.pdf (inicial, cédula, cite-se, mandado)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 (imagem)</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27 a 55 e-SAJ</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55 a 173 citacao ate calculo da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119 de 119</w:t>
            </w:r>
            <w:r>
              <w:rPr>
                <w:rFonts w:ascii="Times New Roman" w:cs="Times New Roman" w:eastAsia="Times New Roman" w:hAnsi="Times New Roman"/>
                <w:b w:val="false"/>
                <w:bCs w:val="false"/>
                <w:i w:val="false"/>
                <w:iCs w:val="false"/>
                <w:sz w:val="19"/>
                <w:szCs w:val="19"/>
              </w:rPr>
              <w:t xml:space="preserve"> (imagem; 5 páginas giradas re-renderizadas; fls. 57 ilegível)</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52 a 54.pdf + pagina 52 mostrando 20% manuscrito.png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com ampliação a 800 dpi</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165 a 168 calculo da contadoria 1995.pdf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(fls. 165 e 168)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174 175 178 179 impugnacao dos calculo remessa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177 2a vez 20% honorarios Banespa.pdf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da Contadoria fls. 179 a 183 e-SAJ (dois arquivos, um deles rotulado "pag 771-786")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arquivo "pag 771-786" contém as fls. 179/183, não 771/786</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202 resposta banespa perg juiz.pdf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homologação + certidão + pag 152 e verso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543 1a cessao + pag 1670-1675 CESSAO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mesmo documento em duas cópias</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786 a 790.pdf (decisão 16/05/2012)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1930 a 1933.pdf (na verdade fls. 1931/1934)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1943 a 1950.pdf (fls. 1944/1951) e pag 1944-1950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1536-1538 juros 1 aa (fls. 1537/1539)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proc devedor pede contadoria; transito e julgado 13082010 (= fls. 2572)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305 a 315 pag 3038 a 3044 rejeicao (decisão 08/05/2025) + 3037,3040-3042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3064 a 3066 juiz determina metodo calculo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DJSP 09/05/2025 partes 1 e 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à Execução 0015252 (dois PDFs)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extratos de andamento; sem sentença/acórdão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2007-2025 (11 arquivos)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5a 8 rejeição da exceção (= acórdão AI 2236642, fls. 3345/3348) + TJ-SP AI 2236642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certidão de trânsito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a 63 acórdão AI 2353386 (fls. 3394/3403)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acórdão truncado; falta a última página do voto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0000001-82.1987.8.26 - 5 - 3341 a 3440.pdf e -2 pag 3341 ate 3459.pdf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+ 19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 megas.txt (texto extraído dos autos)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2.996 páginas marcadas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busca integral; folhas &lt; 1290 sem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usado só nas folhas conferidas por imagem</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2186351-42.2026 consulta TJSP (26/09) + PUBLICACAO 04082026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EDcl e EREsp 1.229.406/SP; REsp 148.938/RJ; AgInt AREsp 2.500.976/PR; AgInt REsp 2.127.021/DF; REsp 2.018.575/PR; EDcl REsp 2.178.097/RS; REsp 1.655.655/SP; AREsp 2.569.822/DF (3 arquivos); REsp 1.795.982/SP; EAREsp 600.811/SP; REsp 1.061.530/RS + Súmula 381; AREsp 43.936/RJ; AgInt EDcl AREsp 1.122.847/SP; REsp 1.984.424/SP (+ notícia + certidão); REsp 1.861.550/DF; REsp 1.256.633/RS; REsp 256.832/CE; AgInt AREsp 2.019.623/SP; AgInt REsp 1.476.534/CE; Súmulas 93, 596, 254, 121; DL 413/69; TJSP AI 2123223-58.2020; AI 2250267-55.2023; AI 2401202-39.2025; AI 2065526-45.2021 (Registro 2021.0000902160)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integrais, salvo: REsp 1.795.982 (lidas 1-10, 76-78, 89-91 de 126), EAREsp 600.811 (1-17 e 60-63 de 63), REsp 1.061.530 (1-9, 35-37, 87-88, 97-98 de 98), Súmula 93 (1-8 de 38)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 SP" (ID 10snRaqX9…)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arquivo errado (fls. 786/790 dos autos); </w:t>
            </w:r>
            <w:r>
              <w:rPr>
                <w:rFonts w:ascii="Times New Roman" w:cs="Times New Roman" w:eastAsia="Times New Roman" w:hAnsi="Times New Roman"/>
                <w:b/>
                <w:bCs/>
                <w:i w:val="false"/>
                <w:iCs w:val="false"/>
                <w:sz w:val="19"/>
                <w:szCs w:val="19"/>
              </w:rPr>
              <w:t xml:space="preserve">substituído em 28/09 por "STJ AREsp 1539138" (2 p.) e "STJ AgInt no AREsp 1539138" (4 p.), lidos integralmente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Apelação 0017993-79.2012.8.26.0408 (15 p.); TJ-SP AI 2143351-60.2024 (11 p.); TJ-SP EDcl Ap. 0019853-52.2024 (5 p.)</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subidos em 27-28/09</w:t>
            </w:r>
          </w:p>
        </w:tc>
      </w:tr>
    </w:tbl>
    <w:p>
      <w:pPr>
        <w:spacing w:after="120"/>
      </w:pPr>
    </w:p>
    <w:p>
      <w:pPr>
        <w:spacing w:after="40" w:line="276"/>
        <w:jc w:val="center"/>
      </w:pPr>
      <w:r>
        <w:rPr>
          <w:rFonts w:ascii="Times New Roman" w:cs="Times New Roman" w:eastAsia="Times New Roman" w:hAnsi="Times New Roman"/>
          <w:b/>
          <w:bCs/>
          <w:i w:val="false"/>
          <w:iCs w:val="false"/>
        </w:rPr>
        <w:t xml:space="preserve">Não abertos</w:t>
      </w:r>
      <w:r>
        <w:rPr>
          <w:rFonts w:ascii="Times New Roman" w:cs="Times New Roman" w:eastAsia="Times New Roman" w:hAnsi="Times New Roman"/>
          <w:b w:val="false"/>
          <w:bCs w:val="false"/>
          <w:i w:val="false"/>
          <w:iCs w:val="false"/>
        </w:rPr>
        <w:t xml:space="preserve"> (tamanho acima do limite do conector): 98 megas.pdf; pag 1 A 204 (8 MB); 2 - 901 a 1800 (33 MB); 3 - 1801 a 2700 (57 MB); 4 - 2701 a 3341 (25 MB); 305 a 315 Resposta (20 MB; conteúdo obtido pelo .txt).</w:t>
      </w:r>
    </w:p>
    <w:p>
      <w:pPr>
        <w:pStyle w:val="Heading1"/>
        <w:keepNext/>
      </w:pPr>
      <w:r>
        <w:rPr>
          <w:rFonts w:ascii="Times New Roman" w:cs="Times New Roman" w:eastAsia="Times New Roman" w:hAnsi="Times New Roman"/>
        </w:rPr>
        <w:t xml:space="preserve">PRIMEIRO PASSO — documentos que ainda faltam</w:t>
      </w:r>
    </w:p>
    <w:p>
      <w:pPr>
        <w:spacing w:after="120" w:line="360"/>
        <w:jc w:val="both"/>
      </w:pPr>
      <w:r>
        <w:rPr>
          <w:rFonts w:ascii="Times New Roman" w:cs="Times New Roman" w:eastAsia="Times New Roman" w:hAnsi="Times New Roman"/>
          <w:b w:val="false"/>
          <w:bCs w:val="false"/>
          <w:i w:val="false"/>
          <w:iCs w:val="false"/>
        </w:rPr>
        <w:t xml:space="preserve">Os itens abaixo </w:t>
      </w:r>
      <w:r>
        <w:rPr>
          <w:rFonts w:ascii="Times New Roman" w:cs="Times New Roman" w:eastAsia="Times New Roman" w:hAnsi="Times New Roman"/>
          <w:b/>
          <w:bCs/>
          <w:i w:val="false"/>
          <w:iCs w:val="false"/>
        </w:rPr>
        <w:t xml:space="preserve">não estão no Drive</w:t>
      </w:r>
      <w:r>
        <w:rPr>
          <w:rFonts w:ascii="Times New Roman" w:cs="Times New Roman" w:eastAsia="Times New Roman" w:hAnsi="Times New Roman"/>
          <w:b w:val="false"/>
          <w:bCs w:val="false"/>
          <w:i w:val="false"/>
          <w:iCs w:val="false"/>
        </w:rPr>
        <w:t xml:space="preserve"> (busca por título e por texto). Peço em dois grupos.</w:t>
      </w:r>
    </w:p>
    <w:p>
      <w:pPr>
        <w:spacing w:after="40" w:line="276"/>
        <w:jc w:val="center"/>
      </w:pPr>
      <w:r>
        <w:rPr>
          <w:rFonts w:ascii="Times New Roman" w:cs="Times New Roman" w:eastAsia="Times New Roman" w:hAnsi="Times New Roman"/>
          <w:b/>
          <w:bCs/>
          <w:i w:val="false"/>
          <w:iCs w:val="false"/>
        </w:rPr>
        <w:t xml:space="preserve">Grupo 1 — peças dos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4"/>
        <w:gridCol w:w="3860"/>
        <w:gridCol w:w="836"/>
        <w:gridCol w:w="3861"/>
      </w:tblGrid>
      <w:tr>
        <w:trPr>
          <w:cantSplit/>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8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 afetado</w:t>
            </w:r>
          </w:p>
        </w:tc>
        <w:tc>
          <w:tcPr>
            <w:tcW w:type="dxa" w:w="38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deve estar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Contraminuta</w:t>
            </w:r>
            <w:r>
              <w:rPr>
                <w:rFonts w:ascii="Times New Roman" w:cs="Times New Roman" w:eastAsia="Times New Roman" w:hAnsi="Times New Roman"/>
                <w:b w:val="false"/>
                <w:bCs w:val="false"/>
                <w:i w:val="false"/>
                <w:iCs w:val="false"/>
                <w:sz w:val="19"/>
                <w:szCs w:val="19"/>
              </w:rPr>
              <w:t xml:space="preserve"> do executado (WPRO.26.01280402-4, 24/08/2026)</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 D2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Sentença (03/05/1991) e acórdão dos Embargos à Execução 0015252-76.2006</w:t>
            </w:r>
            <w:r>
              <w:rPr>
                <w:rFonts w:ascii="Times New Roman" w:cs="Times New Roman" w:eastAsia="Times New Roman" w:hAnsi="Times New Roman"/>
                <w:b w:val="false"/>
                <w:bCs w:val="false"/>
                <w:i w:val="false"/>
                <w:iCs w:val="false"/>
                <w:sz w:val="19"/>
                <w:szCs w:val="19"/>
              </w:rPr>
              <w:t xml:space="preserve"> — cópias autenticadas juntadas pelo Santander em 12/09/2007 (petição fls. 2137/2139 e-SAJ = CP 600/602)</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 H5</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provavelmente </w:t>
            </w:r>
            <w:r>
              <w:rPr>
                <w:rFonts w:ascii="Times New Roman" w:cs="Times New Roman" w:eastAsia="Times New Roman" w:hAnsi="Times New Roman"/>
                <w:b/>
                <w:bCs/>
                <w:i w:val="false"/>
                <w:iCs w:val="false"/>
                <w:sz w:val="19"/>
                <w:szCs w:val="19"/>
              </w:rPr>
              <w:t xml:space="preserve">fls. 2140 a 2160 e-SAJ</w:t>
            </w:r>
            <w:r>
              <w:rPr>
                <w:rFonts w:ascii="Times New Roman" w:cs="Times New Roman" w:eastAsia="Times New Roman" w:hAnsi="Times New Roman"/>
                <w:b w:val="false"/>
                <w:bCs w:val="false"/>
                <w:i w:val="false"/>
                <w:iCs w:val="false"/>
                <w:sz w:val="19"/>
                <w:szCs w:val="19"/>
              </w:rPr>
              <w:t xml:space="preserve"> (CP 604/624), dentro do "3 - 1801 a 2700"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32 a 47 e 85 dos autos digitalizados dos Embargos</w:t>
            </w:r>
            <w:r>
              <w:rPr>
                <w:rFonts w:ascii="Times New Roman" w:cs="Times New Roman" w:eastAsia="Times New Roman" w:hAnsi="Times New Roman"/>
                <w:b w:val="false"/>
                <w:bCs w:val="false"/>
                <w:i w:val="false"/>
                <w:iCs w:val="false"/>
                <w:sz w:val="19"/>
                <w:szCs w:val="19"/>
              </w:rPr>
              <w:t xml:space="preserve"> (sentença e trânsito, conforme fls. 1483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autos 0015252 digitalizados em 31/01/2024</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651</w:t>
            </w:r>
            <w:r>
              <w:rPr>
                <w:rFonts w:ascii="Times New Roman" w:cs="Times New Roman" w:eastAsia="Times New Roman" w:hAnsi="Times New Roman"/>
                <w:b w:val="false"/>
                <w:bCs w:val="false"/>
                <w:i w:val="false"/>
                <w:iCs w:val="false"/>
                <w:sz w:val="19"/>
                <w:szCs w:val="19"/>
              </w:rPr>
              <w:t xml:space="preserve"> e-SAJ (planilha R$ 1.140.030,51 de dez/2011) e fls. </w:t>
            </w:r>
            <w:r>
              <w:rPr>
                <w:rFonts w:ascii="Times New Roman" w:cs="Times New Roman" w:eastAsia="Times New Roman" w:hAnsi="Times New Roman"/>
                <w:b/>
                <w:bCs/>
                <w:i w:val="false"/>
                <w:iCs w:val="false"/>
                <w:sz w:val="19"/>
                <w:szCs w:val="19"/>
              </w:rPr>
              <w:t xml:space="preserve">655/673</w:t>
            </w:r>
            <w:r>
              <w:rPr>
                <w:rFonts w:ascii="Times New Roman" w:cs="Times New Roman" w:eastAsia="Times New Roman" w:hAnsi="Times New Roman"/>
                <w:b w:val="false"/>
                <w:bCs w:val="false"/>
                <w:i w:val="false"/>
                <w:iCs w:val="false"/>
                <w:sz w:val="19"/>
                <w:szCs w:val="19"/>
              </w:rPr>
              <w:t xml:space="preserve"> (petição de substituição)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H3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 (fls. 651 está antes de 901: no "1 A 204"? não; falta um arquivo com fls. 205 a 900)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771 a 785</w:t>
            </w:r>
            <w:r>
              <w:rPr>
                <w:rFonts w:ascii="Times New Roman" w:cs="Times New Roman" w:eastAsia="Times New Roman" w:hAnsi="Times New Roman"/>
                <w:b w:val="false"/>
                <w:bCs w:val="false"/>
                <w:i w:val="false"/>
                <w:iCs w:val="false"/>
                <w:sz w:val="19"/>
                <w:szCs w:val="19"/>
              </w:rPr>
              <w:t xml:space="preserve"> e-SAJ (o arquivo com esse nome traz outras folhas)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H4</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1500 a 1505</w:t>
            </w:r>
            <w:r>
              <w:rPr>
                <w:rFonts w:ascii="Times New Roman" w:cs="Times New Roman" w:eastAsia="Times New Roman" w:hAnsi="Times New Roman"/>
                <w:b w:val="false"/>
                <w:bCs w:val="false"/>
                <w:i w:val="false"/>
                <w:iCs w:val="false"/>
                <w:sz w:val="19"/>
                <w:szCs w:val="19"/>
              </w:rPr>
              <w:t xml:space="preserve"> (exceção, imagem) e </w:t>
            </w:r>
            <w:r>
              <w:rPr>
                <w:rFonts w:ascii="Times New Roman" w:cs="Times New Roman" w:eastAsia="Times New Roman" w:hAnsi="Times New Roman"/>
                <w:b/>
                <w:bCs/>
                <w:i w:val="false"/>
                <w:iCs w:val="false"/>
                <w:sz w:val="19"/>
                <w:szCs w:val="19"/>
              </w:rPr>
              <w:t xml:space="preserve">387/394 da Carta Precatória</w:t>
            </w:r>
            <w:r>
              <w:rPr>
                <w:rFonts w:ascii="Times New Roman" w:cs="Times New Roman" w:eastAsia="Times New Roman" w:hAnsi="Times New Roman"/>
                <w:b w:val="false"/>
                <w:bCs w:val="false"/>
                <w:i w:val="false"/>
                <w:iCs w:val="false"/>
                <w:sz w:val="19"/>
                <w:szCs w:val="19"/>
              </w:rPr>
              <w:t xml:space="preserve"> (AREsp não conhecido)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H2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Última página do acórdão do </w:t>
            </w:r>
            <w:r>
              <w:rPr>
                <w:rFonts w:ascii="Times New Roman" w:cs="Times New Roman" w:eastAsia="Times New Roman" w:hAnsi="Times New Roman"/>
                <w:b/>
                <w:bCs/>
                <w:i w:val="false"/>
                <w:iCs w:val="false"/>
                <w:sz w:val="19"/>
                <w:szCs w:val="19"/>
              </w:rPr>
              <w:t xml:space="preserve">AI 2353386</w:t>
            </w:r>
            <w:r>
              <w:rPr>
                <w:rFonts w:ascii="Times New Roman" w:cs="Times New Roman" w:eastAsia="Times New Roman" w:hAnsi="Times New Roman"/>
                <w:b w:val="false"/>
                <w:bCs w:val="false"/>
                <w:i w:val="false"/>
                <w:iCs w:val="false"/>
                <w:sz w:val="19"/>
                <w:szCs w:val="19"/>
              </w:rPr>
              <w:t xml:space="preserve"> (fls. 3404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"5 - 3341 a 3440" já tem; basta extrair</w:t>
            </w:r>
          </w:p>
        </w:tc>
      </w:tr>
    </w:tbl>
    <w:p>
      <w:pPr>
        <w:spacing w:after="120"/>
      </w:pPr>
    </w:p>
    <w:p>
      <w:pPr>
        <w:spacing w:after="40" w:line="276"/>
        <w:jc w:val="center"/>
      </w:pPr>
      <w:r>
        <w:rPr>
          <w:rFonts w:ascii="Times New Roman" w:cs="Times New Roman" w:eastAsia="Times New Roman" w:hAnsi="Times New Roman"/>
          <w:b/>
          <w:bCs/>
          <w:i w:val="false"/>
          <w:iCs w:val="false"/>
        </w:rPr>
        <w:t xml:space="preserve">Grupo 2 — jurisprudência e normas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7161"/>
        <w:gridCol w:w="956"/>
      </w:tblGrid>
      <w:tr>
        <w:trPr>
          <w:cantSplit/>
          <w:tblHeader/>
        </w:trPr>
        <w:tc>
          <w:tcPr>
            <w:tcW w:type="dxa" w:w="9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71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9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REsp </w:t>
            </w:r>
            <w:r>
              <w:rPr>
                <w:rFonts w:ascii="Times New Roman" w:cs="Times New Roman" w:eastAsia="Times New Roman" w:hAnsi="Times New Roman"/>
                <w:b/>
                <w:bCs/>
                <w:i w:val="false"/>
                <w:iCs w:val="false"/>
                <w:sz w:val="19"/>
                <w:szCs w:val="19"/>
              </w:rPr>
              <w:t xml:space="preserve">1.455.741/DF</w:t>
            </w:r>
            <w:r>
              <w:rPr>
                <w:rFonts w:ascii="Times New Roman" w:cs="Times New Roman" w:eastAsia="Times New Roman" w:hAnsi="Times New Roman"/>
                <w:b w:val="false"/>
                <w:bCs w:val="false"/>
                <w:i w:val="false"/>
                <w:iCs w:val="false"/>
                <w:sz w:val="19"/>
                <w:szCs w:val="19"/>
              </w:rPr>
              <w:t xml:space="preserve"> (inteiro teor; a ementa está transcrita no AgInt no AREsp 1.539.138)</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AREsp </w:t>
            </w:r>
            <w:r>
              <w:rPr>
                <w:rFonts w:ascii="Times New Roman" w:cs="Times New Roman" w:eastAsia="Times New Roman" w:hAnsi="Times New Roman"/>
                <w:b/>
                <w:bCs/>
                <w:i w:val="false"/>
                <w:iCs w:val="false"/>
                <w:sz w:val="19"/>
                <w:szCs w:val="19"/>
              </w:rPr>
              <w:t xml:space="preserve">1.851.737/DF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w:t>
            </w:r>
            <w:r>
              <w:rPr>
                <w:rFonts w:ascii="Times New Roman" w:cs="Times New Roman" w:eastAsia="Times New Roman" w:hAnsi="Times New Roman"/>
                <w:b/>
                <w:bCs/>
                <w:i w:val="false"/>
                <w:iCs w:val="false"/>
                <w:sz w:val="19"/>
                <w:szCs w:val="19"/>
              </w:rPr>
              <w:t xml:space="preserve">2181564-67.2026.8.26.0000</w:t>
            </w:r>
            <w:r>
              <w:rPr>
                <w:rFonts w:ascii="Times New Roman" w:cs="Times New Roman" w:eastAsia="Times New Roman" w:hAnsi="Times New Roman"/>
                <w:b w:val="false"/>
                <w:bCs w:val="false"/>
                <w:i w:val="false"/>
                <w:iCs w:val="false"/>
                <w:sz w:val="19"/>
                <w:szCs w:val="19"/>
              </w:rPr>
              <w:t xml:space="preserve"> e AI </w:t>
            </w:r>
            <w:r>
              <w:rPr>
                <w:rFonts w:ascii="Times New Roman" w:cs="Times New Roman" w:eastAsia="Times New Roman" w:hAnsi="Times New Roman"/>
                <w:b/>
                <w:bCs/>
                <w:i w:val="false"/>
                <w:iCs w:val="false"/>
                <w:sz w:val="19"/>
                <w:szCs w:val="19"/>
              </w:rPr>
              <w:t xml:space="preserve">2297076-69.2024.8.26.0000</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w:t>
            </w:r>
            <w:r>
              <w:rPr>
                <w:rFonts w:ascii="Times New Roman" w:cs="Times New Roman" w:eastAsia="Times New Roman" w:hAnsi="Times New Roman"/>
                <w:b/>
                <w:bCs/>
                <w:i w:val="false"/>
                <w:iCs w:val="false"/>
                <w:sz w:val="19"/>
                <w:szCs w:val="19"/>
              </w:rPr>
              <w:t xml:space="preserve">549/2011</w:t>
            </w:r>
            <w:r>
              <w:rPr>
                <w:rFonts w:ascii="Times New Roman" w:cs="Times New Roman" w:eastAsia="Times New Roman" w:hAnsi="Times New Roman"/>
                <w:b w:val="false"/>
                <w:bCs w:val="false"/>
                <w:i w:val="false"/>
                <w:iCs w:val="false"/>
                <w:sz w:val="19"/>
                <w:szCs w:val="19"/>
              </w:rPr>
              <w:t xml:space="preserve"> (texto consolidado com as Resoluções 772/2017 e 903/2023) e RITJSP (memoriais, "pela ordem") — o art. 1º já está transcrito no EDcl Ap. 0019853-52.2024</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G1</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Continuam faltando a contraminuta, a sentença/acórdão dos embargos, fls. 3404, as folhas 651/673, 771/785, 1500/1505 e 1924/1931, os julgados 1.455.741, 1.851.737, AI 2181564-67.2026 e AI 2297076-69.2024, e o texto oficial da Resolução 549/2011. Entrego a v2 com 🟨 onde a fonte ainda falta.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J — SENTENÇA E ACÓRDÃO DOS EMBARGOS (ACHADO DA v4)</w:t>
      </w:r>
    </w:p>
    <w:p>
      <w:pPr>
        <w:spacing w:after="120" w:line="360"/>
        <w:jc w:val="both"/>
      </w:pPr>
      <w:r>
        <w:rPr>
          <w:rFonts w:ascii="Times New Roman" w:cs="Times New Roman" w:eastAsia="Times New Roman" w:hAnsi="Times New Roman"/>
          <w:b/>
          <w:bCs/>
          <w:i w:val="false"/>
          <w:iCs w:val="false"/>
        </w:rPr>
        <w:t xml:space="preserve">Localização.</w:t>
      </w:r>
      <w:r>
        <w:rPr>
          <w:rFonts w:ascii="Times New Roman" w:cs="Times New Roman" w:eastAsia="Times New Roman" w:hAnsi="Times New Roman"/>
          <w:b w:val="false"/>
          <w:bCs w:val="false"/>
          <w:i w:val="false"/>
          <w:iCs w:val="false"/>
        </w:rPr>
        <w:t xml:space="preserve"> As cópias estão na Carta Precatória de Chavantes (processo 0001710-82.2007.8.26.0140), trasladadas para a execução em 03/12/2024. Arquivos do Drive "2081-2160.pdf" e "2161-2240.pdf". Todas as folhas abaixo foram lidas </w:t>
      </w:r>
      <w:r>
        <w:rPr>
          <w:rFonts w:ascii="Times New Roman" w:cs="Times New Roman" w:eastAsia="Times New Roman" w:hAnsi="Times New Roman"/>
          <w:b/>
          <w:bCs/>
          <w:i w:val="false"/>
          <w:iCs w:val="false"/>
        </w:rPr>
        <w:t xml:space="preserve">em imagem</w:t>
      </w:r>
      <w:r>
        <w:rPr>
          <w:rFonts w:ascii="Times New Roman" w:cs="Times New Roman" w:eastAsia="Times New Roman" w:hAnsi="Times New Roman"/>
          <w:b w:val="false"/>
          <w:bCs w:val="false"/>
          <w:i w:val="false"/>
          <w:iCs w:val="false"/>
        </w:rPr>
        <w:t xml:space="preserve">. A folha física é o carimbo manuscrito dos autos dos embargos (Processo 841/87 – apenso).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2381"/>
        <w:gridCol w:w="453"/>
        <w:gridCol w:w="2381"/>
        <w:gridCol w:w="455"/>
      </w:tblGrid>
      <w:tr>
        <w:trPr>
          <w:cantSplit/>
          <w:tblHeader/>
        </w:trPr>
        <w:tc>
          <w:tcPr>
            <w:tcW w:type="dxa" w:w="340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Peça</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fls. física (embargos)</w:t>
            </w:r>
          </w:p>
        </w:tc>
        <w:tc>
          <w:tcPr>
            <w:tcW w:type="dxa" w:w="4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CP</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45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(Juiz José Aparício Coelho Prado Neto, 3ª Vara de Ourinhos)</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2156/2184 e-SAJ / fls. 28/42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619/647</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Apelação nº 494.970-8, 7ª Câmara do 1º Tribunal de Alçada Civil, Rel. Luiz Correia Lima, v.u.</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2144/2150 e-SAJ / fls. 153/156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607/613</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do acórdão e certidão de publicação</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2152 e-SAJ / fls. 157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615</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20/10/1993; publicação 26/10/1993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prazo recursal e remessa à origem</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2154 e-SAJ / fls. 158 física</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617</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10/11/1993</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de 1995 (cópia)</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2188 e-SAJ</w:t>
            </w:r>
          </w:p>
        </w:tc>
        <w:tc>
          <w:tcPr>
            <w:tcW w:type="dxa" w:w="4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651</w:t>
            </w:r>
          </w:p>
        </w:tc>
        <w:tc>
          <w:tcPr>
            <w:tcW w:type="dxa" w:w="23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4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J1. Honorários: 20% sobre o montante da execução, com trânsito em julgado.</w:t>
      </w:r>
      <w:r>
        <w:rPr>
          <w:rFonts w:ascii="Times New Roman" w:cs="Times New Roman" w:eastAsia="Times New Roman" w:hAnsi="Times New Roman"/>
          <w:b w:val="false"/>
          <w:bCs w:val="false"/>
          <w:i w:val="false"/>
          <w:iCs w:val="false"/>
        </w:rPr>
        <w:t xml:space="preserve"> 🟩 Dispositivo da sentença (fls. 2184 e-SAJ / fls. 42 física): "Pelo exposto, e por tudo o que mais dos autos consta, julgo </w:t>
      </w:r>
      <w:r>
        <w:rPr>
          <w:rFonts w:ascii="Times New Roman" w:cs="Times New Roman" w:eastAsia="Times New Roman" w:hAnsi="Times New Roman"/>
          <w:b/>
          <w:bCs/>
          <w:i w:val="false"/>
          <w:iCs w:val="false"/>
        </w:rPr>
        <w:t xml:space="preserve">IMPROCEDENTES</w:t>
      </w:r>
      <w:r>
        <w:rPr>
          <w:rFonts w:ascii="Times New Roman" w:cs="Times New Roman" w:eastAsia="Times New Roman" w:hAnsi="Times New Roman"/>
          <w:b w:val="false"/>
          <w:bCs w:val="false"/>
          <w:i w:val="false"/>
          <w:iCs w:val="false"/>
        </w:rPr>
        <w:t xml:space="preserve"> os presentes embargos, condenando os embargantes nas custas processuais e honorários advocatícios, que arbitro em </w:t>
      </w:r>
      <w:r>
        <w:rPr>
          <w:rFonts w:ascii="Times New Roman" w:cs="Times New Roman" w:eastAsia="Times New Roman" w:hAnsi="Times New Roman"/>
          <w:b/>
          <w:bCs/>
          <w:i w:val="false"/>
          <w:iCs w:val="false"/>
        </w:rPr>
        <w:t xml:space="preserve">20% (vinte por cento) sobre o montante da execução</w:t>
      </w:r>
      <w:r>
        <w:rPr>
          <w:rFonts w:ascii="Times New Roman" w:cs="Times New Roman" w:eastAsia="Times New Roman" w:hAnsi="Times New Roman"/>
          <w:b w:val="false"/>
          <w:bCs w:val="false"/>
          <w:i w:val="false"/>
          <w:iCs w:val="false"/>
        </w:rPr>
        <w:t xml:space="preserve">, com fundamento no parágrafo 4º do artigo 20 do Código de Processo Civil. P. R. I. Ourinhos, 3 de maio de 1.991." O acórdão negou provimento à apelação (fls. 2144 e-SAJ / fls. 153 física: "por votação unânime, negar provimento ao recurso"). A certidão de fls. 2154 e-SAJ / fls. 158 física atesta o decurso do prazo recursal em 10/11/1993.</w:t>
      </w:r>
    </w:p>
    <w:p>
      <w:pPr>
        <w:spacing w:after="120" w:line="360"/>
        <w:jc w:val="both"/>
      </w:pPr>
      <w:r>
        <w:rPr>
          <w:rFonts w:ascii="Times New Roman" w:cs="Times New Roman" w:eastAsia="Times New Roman" w:hAnsi="Times New Roman"/>
          <w:b w:val="false"/>
          <w:bCs w:val="false"/>
          <w:i w:val="false"/>
          <w:iCs w:val="false"/>
        </w:rPr>
        <w:t xml:space="preserve">Consequências:</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questão do Bloco B fica resolvida. A fonte dos 20% é a sentença de 1991, transitada em julgado, e não a fls. 52.</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base é "o montante da execução". A conta de 1995 aplicou 20% sobre saldo mais multa (R$ 5.782.407,24 × 20% = R$ 1.156.481,45; fls. 180 e-SAJ / 134 física e cópia em fls. 2188 e-SAJ). Isso é compatível com a sentença.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A tese do executado de 20/08/2026 (fls. 3444/3445 e-SAJ: "10% sobre o valor da causa, conforme mandado de fls. 54") contraria a coisa julgada. O mandado de fls. 54 e-SAJ / 24 física reproduz a fixação condicional do "cite-se" (Bloco B1), que perdeu efeito quando os embargos foram opostos.</w:t>
      </w:r>
    </w:p>
    <w:p>
      <w:pPr>
        <w:spacing w:after="120" w:line="360"/>
        <w:jc w:val="both"/>
      </w:pPr>
      <w:r>
        <w:rPr>
          <w:rFonts w:ascii="Times New Roman" w:cs="Times New Roman" w:eastAsia="Times New Roman" w:hAnsi="Times New Roman"/>
          <w:b/>
          <w:bCs/>
          <w:i w:val="false"/>
          <w:iCs w:val="false"/>
        </w:rPr>
        <w:t xml:space="preserve">J2. A sentença rejeitou a tese de anatocismo e validou a forma de contagem dos juros.</w:t>
      </w:r>
      <w:r>
        <w:rPr>
          <w:rFonts w:ascii="Times New Roman" w:cs="Times New Roman" w:eastAsia="Times New Roman" w:hAnsi="Times New Roman"/>
          <w:b w:val="false"/>
          <w:bCs w:val="false"/>
          <w:i w:val="false"/>
          <w:iCs w:val="false"/>
        </w:rPr>
        <w:t xml:space="preserve"> 🟩 Fls. 2176/2178 e-SAJ / fls. 38/39 física (páginas 11 e 12 da sentença): "há que se afastar a alegação dos embargantes de que teria ocorrido </w:t>
      </w:r>
      <w:r>
        <w:rPr>
          <w:rFonts w:ascii="Times New Roman" w:cs="Times New Roman" w:eastAsia="Times New Roman" w:hAnsi="Times New Roman"/>
          <w:b/>
          <w:bCs/>
          <w:i w:val="false"/>
          <w:iCs w:val="false"/>
        </w:rPr>
        <w:t xml:space="preserve">anatocismo</w:t>
      </w:r>
      <w:r>
        <w:rPr>
          <w:rFonts w:ascii="Times New Roman" w:cs="Times New Roman" w:eastAsia="Times New Roman" w:hAnsi="Times New Roman"/>
          <w:b w:val="false"/>
          <w:bCs w:val="false"/>
          <w:i w:val="false"/>
          <w:iCs w:val="false"/>
        </w:rPr>
        <w:t xml:space="preserve">, visto que além de nada ter sido demonstrado no particular, nota-se que o contrato exeqüendo não contempla tal anomalia. Na verdade, </w:t>
      </w:r>
      <w:r>
        <w:rPr>
          <w:rFonts w:ascii="Times New Roman" w:cs="Times New Roman" w:eastAsia="Times New Roman" w:hAnsi="Times New Roman"/>
          <w:b/>
          <w:bCs/>
          <w:i w:val="false"/>
          <w:iCs w:val="false"/>
        </w:rPr>
        <w:t xml:space="preserve">improcedem as alegações dos embargantes voltadas contra as taxas de juros estipuladas, bem como sua forma de contagem</w:t>
      </w:r>
      <w:r>
        <w:rPr>
          <w:rFonts w:ascii="Times New Roman" w:cs="Times New Roman" w:eastAsia="Times New Roman" w:hAnsi="Times New Roman"/>
          <w:b w:val="false"/>
          <w:bCs w:val="false"/>
          <w:i w:val="false"/>
          <w:iCs w:val="false"/>
        </w:rPr>
        <w:t xml:space="preserve">, visto que as taxas foram livremente pactuadas, sendo que sua forma de apuração, </w:t>
      </w:r>
      <w:r>
        <w:rPr>
          <w:rFonts w:ascii="Times New Roman" w:cs="Times New Roman" w:eastAsia="Times New Roman" w:hAnsi="Times New Roman"/>
          <w:b/>
          <w:bCs/>
          <w:i w:val="false"/>
          <w:iCs w:val="false"/>
        </w:rPr>
        <w:t xml:space="preserve">como reclamada pelo embargado</w:t>
      </w:r>
      <w:r>
        <w:rPr>
          <w:rFonts w:ascii="Times New Roman" w:cs="Times New Roman" w:eastAsia="Times New Roman" w:hAnsi="Times New Roman"/>
          <w:b w:val="false"/>
          <w:bCs w:val="false"/>
          <w:i w:val="false"/>
          <w:iCs w:val="false"/>
        </w:rPr>
        <w:t xml:space="preserve">, encontra apoio na disposição contida no inciso VI do artigo 14 do Decreto-lei nº 413, de 9 de janeiro de 1.969." Os embargantes haviam alegado que "a capitalização mensal de juros é expressamente vedada pelo artigo 4º do Decreto nº 22.626/33" (fls. 2162 e-SAJ, relatório da sentença). O acórdão registra que a sentença afastou as arguições de "anatocismo" (fls. 2146 e-SAJ / fls. 154 física).</w:t>
      </w:r>
    </w:p>
    <w:p>
      <w:pPr>
        <w:spacing w:after="120" w:line="360"/>
        <w:jc w:val="both"/>
      </w:pPr>
      <w:r>
        <w:rPr>
          <w:rFonts w:ascii="Times New Roman" w:cs="Times New Roman" w:eastAsia="Times New Roman" w:hAnsi="Times New Roman"/>
          <w:b/>
          <w:bCs/>
          <w:i w:val="false"/>
          <w:iCs w:val="false"/>
        </w:rPr>
        <w:t xml:space="preserve">J3. O acórdão validou a taxa de 57,18% ao ano.</w:t>
      </w:r>
      <w:r>
        <w:rPr>
          <w:rFonts w:ascii="Times New Roman" w:cs="Times New Roman" w:eastAsia="Times New Roman" w:hAnsi="Times New Roman"/>
          <w:b w:val="false"/>
          <w:bCs w:val="false"/>
          <w:i w:val="false"/>
          <w:iCs w:val="false"/>
        </w:rPr>
        <w:t xml:space="preserve"> 🟩 Fls. 2148 e-SAJ / fls. 155 física: "A inicial do pedido executivo declina que na oportunidade do ajuizamento a taxa máxima de juros permitida pelo Bacen era de 57,18%. (…) Os juros, à taxa máxima permitida pelo Bacen e informada na inicial da execução (57,18% ao ano), se não ultrapassado esse patamar, também não englobam verba de atualização, consubstanciando somente remuneração do capital." O acórdão também transcreve a cláusula de mora, "acrescida da mora de 1% ao mês e da multa de 10% sobre o débito em aberto até a efetiva liquidação da dívida", sem ressalva. É exatamente a taxa usada na conta de 1995.</w:t>
      </w:r>
    </w:p>
    <w:p>
      <w:pPr>
        <w:spacing w:after="120" w:line="360"/>
        <w:jc w:val="both"/>
      </w:pPr>
      <w:r>
        <w:rPr>
          <w:rFonts w:ascii="Times New Roman" w:cs="Times New Roman" w:eastAsia="Times New Roman" w:hAnsi="Times New Roman"/>
          <w:b/>
          <w:bCs/>
          <w:i w:val="false"/>
          <w:iCs w:val="false"/>
        </w:rPr>
        <w:t xml:space="preserve">J4. A sentença mandou apurar o valor por cálculo do Juízo, a ser homologado.</w:t>
      </w:r>
      <w:r>
        <w:rPr>
          <w:rFonts w:ascii="Times New Roman" w:cs="Times New Roman" w:eastAsia="Times New Roman" w:hAnsi="Times New Roman"/>
          <w:b w:val="false"/>
          <w:bCs w:val="false"/>
          <w:i w:val="false"/>
          <w:iCs w:val="false"/>
        </w:rPr>
        <w:t xml:space="preserve"> 🟩 Fls. 2178 e-SAJ / fls. 39 física: "irrelevantes os ataques encetados pelos embargantes contra os valores trazidos à colação pelo embargado quando da propositura da execução, na medida em que o 'quantum' exeqüendo </w:t>
      </w:r>
      <w:r>
        <w:rPr>
          <w:rFonts w:ascii="Times New Roman" w:cs="Times New Roman" w:eastAsia="Times New Roman" w:hAnsi="Times New Roman"/>
          <w:b/>
          <w:bCs/>
          <w:i w:val="false"/>
          <w:iCs w:val="false"/>
        </w:rPr>
        <w:t xml:space="preserve">será apurado por cálculo a ser elaborado pelo Juízo com base no contrato, que, após manifestações das partes, deverá ser homologado por decisão</w:t>
      </w:r>
      <w:r>
        <w:rPr>
          <w:rFonts w:ascii="Times New Roman" w:cs="Times New Roman" w:eastAsia="Times New Roman" w:hAnsi="Times New Roman"/>
          <w:b w:val="false"/>
          <w:bCs w:val="false"/>
          <w:i w:val="false"/>
          <w:iCs w:val="false"/>
        </w:rPr>
        <w:t xml:space="preserve">." A conta de 1995 cumpriu esse comando. Houve cálculo do contador (fls. 165 e-SAJ / 122 física), manifestação e impugnação (fls. 174/175 e-SAJ / 129/130 física), retificação (fls. 180/183 e-SAJ / 134/137 física) e homologação por decisão (fls. 203 e-SAJ / 152 física). Portanto, a homologação de 1995 não é um cálculo avulso: é a liquidação ordenada por sentença transitada em julgado.</w:t>
      </w:r>
    </w:p>
    <w:p>
      <w:pPr>
        <w:spacing w:after="120" w:line="360"/>
        <w:jc w:val="both"/>
      </w:pPr>
      <w:r>
        <w:rPr>
          <w:rFonts w:ascii="Times New Roman" w:cs="Times New Roman" w:eastAsia="Times New Roman" w:hAnsi="Times New Roman"/>
          <w:b/>
          <w:bCs/>
          <w:i w:val="false"/>
          <w:iCs w:val="false"/>
        </w:rPr>
        <w:t xml:space="preserve">J5. Efeito sobre a tese central.</w:t>
      </w:r>
      <w:r>
        <w:rPr>
          <w:rFonts w:ascii="Times New Roman" w:cs="Times New Roman" w:eastAsia="Times New Roman" w:hAnsi="Times New Roman"/>
          <w:b w:val="false"/>
          <w:bCs w:val="false"/>
          <w:i w:val="false"/>
          <w:iCs w:val="false"/>
        </w:rPr>
        <w:t xml:space="preserve"> A decisão de fls. 3064/3066 e-SAJ (item 2) afirmou que a metodologia "importa em contagem de juros sobre juros (…) configurando capitalização vedada em lei". Isso reabre questão decidida em 1991 e 1993, com trânsito em julgado: o anatocismo e a forma de contagem dos juros. O fundamento deixa de ser só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passa a ser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(CF, art. 5º, XXXVI; CPC, arts. 502, 503, 505 e 508; CPC/73, arts. 467, 468, 471 e 474). Pelo art. 508, reputam-se deduzidas e repelidas todas as alegações que o embargante poderia opor. Isso alcança a limitação da mora a 1% ao ano do DL 413/69, art. 5º, parágrafo único, que não foi arguida nos embargos (ver C1). A coisa julgada é matéria de ordem pública (CPC, art. 485, § 3º, e art. 337, § 5º). Por isso pode ser invocada no agravo mesmo que os exequentes não tenham agravado de fls. 3066. Esse é o melhor antídoto contra o AgInt no REsp 1.455.741/DF (ver D2 e riscos).</w:t>
      </w:r>
    </w:p>
    <w:p>
      <w:pPr>
        <w:spacing w:after="120" w:line="360"/>
        <w:jc w:val="both"/>
      </w:pPr>
      <w:r>
        <w:rPr>
          <w:rFonts w:ascii="Times New Roman" w:cs="Times New Roman" w:eastAsia="Times New Roman" w:hAnsi="Times New Roman"/>
          <w:b/>
          <w:bCs/>
          <w:i w:val="false"/>
          <w:iCs w:val="false"/>
        </w:rPr>
        <w:t xml:space="preserve">J6. Cuidado: o argumento que o executado pode extrair.</w:t>
      </w:r>
      <w:r>
        <w:rPr>
          <w:rFonts w:ascii="Times New Roman" w:cs="Times New Roman" w:eastAsia="Times New Roman" w:hAnsi="Times New Roman"/>
          <w:b w:val="false"/>
          <w:bCs w:val="false"/>
          <w:i w:val="false"/>
          <w:iCs w:val="false"/>
        </w:rPr>
        <w:t xml:space="preserve"> 🟨 A sentença diz que "o contrato exeqüendo </w:t>
      </w:r>
      <w:r>
        <w:rPr>
          <w:rFonts w:ascii="Times New Roman" w:cs="Times New Roman" w:eastAsia="Times New Roman" w:hAnsi="Times New Roman"/>
          <w:b/>
          <w:bCs/>
          <w:i w:val="false"/>
          <w:iCs w:val="false"/>
        </w:rPr>
        <w:t xml:space="preserve">não contempla</w:t>
      </w:r>
      <w:r>
        <w:rPr>
          <w:rFonts w:ascii="Times New Roman" w:cs="Times New Roman" w:eastAsia="Times New Roman" w:hAnsi="Times New Roman"/>
          <w:b w:val="false"/>
          <w:bCs w:val="false"/>
          <w:i w:val="false"/>
          <w:iCs w:val="false"/>
        </w:rPr>
        <w:t xml:space="preserve"> tal anomalia" (anatocismo). O executado dirá que a sentença proibiu a capitalização e que a conta de 1995, ao capitalizar mensalmente, a violou. Resposta:</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A sentença validou a "forma de contagem" e a "forma de apuração, como reclamada pelo embargado", e a inicial pedia juros "incidentes sobre o montante do débito atualizado monetariamente", exigíveis "ao final de cada mês" (cédula, campo 11).</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O juízo cumpriu a sentença ao homologar a conta de 1995, com manifestação prévia das partes, e o devedor não recorreu (certidão de fls. 204 e-SAJ).</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Eventual divergência entre a conta e a sentença seria erro de critério, coberto pela preclusão, e não erro material (EDcl/EREsp 1.229.406; AgInt no REsp 2.127.021).</w:t>
      </w:r>
    </w:p>
    <w:p>
      <w:pPr>
        <w:spacing w:after="120" w:line="360"/>
        <w:jc w:val="both"/>
      </w:pPr>
      <w:r>
        <w:rPr>
          <w:rFonts w:ascii="Times New Roman" w:cs="Times New Roman" w:eastAsia="Times New Roman" w:hAnsi="Times New Roman"/>
          <w:b w:val="false"/>
          <w:bCs w:val="false"/>
          <w:i w:val="false"/>
          <w:iCs w:val="false"/>
        </w:rPr>
        <w:t xml:space="preserve">Nos memoriais, citar J2 pelo trecho "improcedem as alegações (…) contra as taxas de juros estipuladas, bem como sua forma de contagem", e não isolar a frase "não contempla tal anomalia".</w:t>
      </w:r>
    </w:p>
    <w:p>
      <w:pPr>
        <w:spacing w:after="120" w:line="360"/>
        <w:jc w:val="both"/>
      </w:pPr>
      <w:r>
        <w:rPr>
          <w:rFonts w:ascii="Times New Roman" w:cs="Times New Roman" w:eastAsia="Times New Roman" w:hAnsi="Times New Roman"/>
          <w:b/>
          <w:bCs/>
          <w:i w:val="false"/>
          <w:iCs w:val="false"/>
        </w:rPr>
        <w:t xml:space="preserve">J7. Numeração: atenção.</w:t>
      </w:r>
      <w:r>
        <w:rPr>
          <w:rFonts w:ascii="Times New Roman" w:cs="Times New Roman" w:eastAsia="Times New Roman" w:hAnsi="Times New Roman"/>
          <w:b w:val="false"/>
          <w:bCs w:val="false"/>
          <w:i w:val="false"/>
          <w:iCs w:val="false"/>
        </w:rPr>
        <w:t xml:space="preserve"> A petição dos exequentes de fls. 1483 e-SAJ menciona "fls. 32/47 e 85" dos embargos digitalizados. A numeração física das cópias da CP é outra: sentença em fls. 28/42 e acórdão em fls. 153/158. Nos memoriais, citar sempre "fls. 2156/2184 e-SAJ (sentença) e fls. 2144/2154 e-SAJ (acórdão e trânsito)", que é a numeração que a Relatora vê.</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A — PRECLUSÃO DA CONTA HOMOLOGADA EM 1995</w:t>
      </w:r>
    </w:p>
    <w:p>
      <w:pPr>
        <w:pStyle w:val="Heading2"/>
        <w:keepNext/>
      </w:pPr>
      <w:r>
        <w:rPr>
          <w:rFonts w:ascii="Times New Roman" w:cs="Times New Roman" w:eastAsia="Times New Roman" w:hAnsi="Times New Roman"/>
        </w:rPr>
        <w:t xml:space="preserve">A1. O que fls. 203 homologou; reconciliação dos valores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Conferido por imagem.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4061"/>
        <w:gridCol w:w="3995"/>
      </w:tblGrid>
      <w:tr>
        <w:trPr>
          <w:cantSplit/>
          <w:tblHeader/>
        </w:trPr>
        <w:tc>
          <w:tcPr>
            <w:tcW w:type="dxa" w:w="10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Valor</w:t>
            </w:r>
          </w:p>
        </w:tc>
        <w:tc>
          <w:tcPr>
            <w:tcW w:type="dxa" w:w="40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é</w:t>
            </w:r>
          </w:p>
        </w:tc>
        <w:tc>
          <w:tcPr>
            <w:tcW w:type="dxa" w:w="399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 (e-SAJ /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R$ 161.057,71</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da Contadoria, 06/02/1995: "PRINCIPAL ATUALIZADO R$ 26.245,89; TAXA EFETIVA R$ 33.987,58; JUROS 1% ao mês desde 5/87 = 93% R$ 60.233,47; SOMA R$ 120.466,94; MULTA 10% R$ 12.046,69; </w:t>
            </w:r>
            <w:r>
              <w:rPr>
                <w:rFonts w:ascii="Times New Roman" w:cs="Times New Roman" w:eastAsia="Times New Roman" w:hAnsi="Times New Roman"/>
                <w:b/>
                <w:bCs/>
                <w:i w:val="false"/>
                <w:iCs w:val="false"/>
                <w:sz w:val="19"/>
                <w:szCs w:val="19"/>
              </w:rPr>
              <w:t xml:space="preserve">HONORÁRIOS 20%</w:t>
            </w:r>
            <w:r>
              <w:rPr>
                <w:rFonts w:ascii="Times New Roman" w:cs="Times New Roman" w:eastAsia="Times New Roman" w:hAnsi="Times New Roman"/>
                <w:b w:val="false"/>
                <w:bCs w:val="false"/>
                <w:i w:val="false"/>
                <w:iCs w:val="false"/>
                <w:sz w:val="19"/>
                <w:szCs w:val="19"/>
              </w:rPr>
              <w:t xml:space="preserve"> R$ 26.502,72; SOMA R$ 159.016,36; despesas R$ 605,75; custas R$ 1.435,60; TOTAL R$ 161.057,71". Juros </w:t>
            </w:r>
            <w:r>
              <w:rPr>
                <w:rFonts w:ascii="Times New Roman" w:cs="Times New Roman" w:eastAsia="Times New Roman" w:hAnsi="Times New Roman"/>
                <w:b/>
                <w:bCs/>
                <w:i w:val="false"/>
                <w:iCs w:val="false"/>
                <w:sz w:val="19"/>
                <w:szCs w:val="19"/>
              </w:rPr>
              <w:t xml:space="preserve">simples</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165 e-SAJ / 122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R$ 4.232.859,19</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do próprio Banespa ("Assessoria Jurídica – Setor de Cálculos e Perícias, 2/3/95"): saldo devedor R$ 3.206.711,51 em 02/03/95, taxa 57,18%, "MULTA 10,00% R$ 320.671,15; HONORÁRIOS 20,00% R$ 705.476,53; TOTAL R$ 4.232.859,19". Nota: o número do prompt ("4.232.889") está errado; o documento diz </w:t>
            </w:r>
            <w:r>
              <w:rPr>
                <w:rFonts w:ascii="Times New Roman" w:cs="Times New Roman" w:eastAsia="Times New Roman" w:hAnsi="Times New Roman"/>
                <w:b/>
                <w:bCs/>
                <w:i w:val="false"/>
                <w:iCs w:val="false"/>
                <w:sz w:val="19"/>
                <w:szCs w:val="19"/>
              </w:rPr>
              <w:t xml:space="preserve">4.232.859,19</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177 e-SAJ / 132 física (carimbo lido "132" em rubrica)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R$ 5.256.733,85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Saldo devedor da conta retificada da Contadoria em 08/95, sem multa e honorários</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 183 e-SAJ / 134 e 137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R$ 6.975.016,65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da mesma conta: saldo + multa 10% (R$ 525.673,39) + honorários 20% (R$ 1.156.481,45) + despesas R$ 683,51 + custas R$ 35.444,45</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e-SAJ / 134 física</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A decisão de fls. 203 e-SAJ / 152 física (23/11/1995) diz: "Homologo, para que produza seus jurídicos efeitos, o laudo de fls. 66/118 e a </w:t>
      </w:r>
      <w:r>
        <w:rPr>
          <w:rFonts w:ascii="Times New Roman" w:cs="Times New Roman" w:eastAsia="Times New Roman" w:hAnsi="Times New Roman"/>
          <w:b/>
          <w:bCs/>
          <w:i w:val="false"/>
          <w:iCs w:val="false"/>
        </w:rPr>
        <w:t xml:space="preserve">conta de liquidação de fls. 134/137</w:t>
      </w:r>
      <w:r>
        <w:rPr>
          <w:rFonts w:ascii="Times New Roman" w:cs="Times New Roman" w:eastAsia="Times New Roman" w:hAnsi="Times New Roman"/>
          <w:b w:val="false"/>
          <w:bCs w:val="false"/>
          <w:i w:val="false"/>
          <w:iCs w:val="false"/>
        </w:rPr>
        <w:t xml:space="preserve">, sobre a qual não se manifestou o exequente." Logo, o que foi homologado foi a conta retificada, </w:t>
      </w:r>
      <w:r>
        <w:rPr>
          <w:rFonts w:ascii="Times New Roman" w:cs="Times New Roman" w:eastAsia="Times New Roman" w:hAnsi="Times New Roman"/>
          <w:b/>
          <w:bCs/>
          <w:i w:val="false"/>
          <w:iCs w:val="false"/>
        </w:rPr>
        <w:t xml:space="preserve">integral</w:t>
      </w:r>
      <w:r>
        <w:rPr>
          <w:rFonts w:ascii="Times New Roman" w:cs="Times New Roman" w:eastAsia="Times New Roman" w:hAnsi="Times New Roman"/>
          <w:b w:val="false"/>
          <w:bCs w:val="false"/>
          <w:i w:val="false"/>
          <w:iCs w:val="false"/>
        </w:rPr>
        <w:t xml:space="preserve"> (R$ 6.975.016,65), da qual o saldo devedor de R$ 5.256.733,85 é a base antes de multa e honorários. A certidão de fls. 204 e-SAJ (física: n/d) atesta: "decorreu o prazo legal, sem manifestação das partes, quanto ao r. despacho retro" (29/12/1995).</w:t>
      </w:r>
    </w:p>
    <w:p>
      <w:pPr>
        <w:spacing w:after="120" w:line="360"/>
        <w:jc w:val="both"/>
      </w:pPr>
      <w:r>
        <w:rPr>
          <w:rFonts w:ascii="Times New Roman" w:cs="Times New Roman" w:eastAsia="Times New Roman" w:hAnsi="Times New Roman"/>
          <w:b w:val="false"/>
          <w:bCs w:val="false"/>
          <w:i w:val="false"/>
          <w:iCs w:val="false"/>
        </w:rPr>
        <w:t xml:space="preserve">Sequência documental: 1ª conta (06/02/1995, juros simples) → impugnação </w:t>
      </w:r>
      <w:r>
        <w:rPr>
          <w:rFonts w:ascii="Times New Roman" w:cs="Times New Roman" w:eastAsia="Times New Roman" w:hAnsi="Times New Roman"/>
          <w:b/>
          <w:bCs/>
          <w:i w:val="false"/>
          <w:iCs w:val="false"/>
        </w:rPr>
        <w:t xml:space="preserve">do Banespa</w:t>
      </w:r>
      <w:r>
        <w:rPr>
          <w:rFonts w:ascii="Times New Roman" w:cs="Times New Roman" w:eastAsia="Times New Roman" w:hAnsi="Times New Roman"/>
          <w:b w:val="false"/>
          <w:bCs w:val="false"/>
          <w:i w:val="false"/>
          <w:iCs w:val="false"/>
        </w:rPr>
        <w:t xml:space="preserve"> (fls. 174/175 e-SAJ / 129/130 física, 03/03/199[4/5], pedindo partir de Cz$ 2.340.293,44, juros de 57,18% a.a., mora 1% a.m., multa 10% e capitalização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 despacho de remessa ao contador (fls. 178 e-SAJ / carimbo "133", 23/03/1995) → informação do contador (fls. 179 e-SAJ, 05/10/1995: "os mesmos foram calculados da forma simples, motivo pelo qual retifico") → conta retificada (fls. 180/183) → homologação (fls. 203) → certidão (fls. 204).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que a conta homologada é a de fls. 134/137 física (180/183 e-SAJ), no total de R$ 6.975.016,65, cujo saldo devedor de R$ 5.256.733,85 é a única base judicialmente fixada, e que a retificação decorreu de impugnação do exequente Banespa, não do executado, que silenciou. Corrigir o agravo: o Banespa não "impugnou a conta" de forma genérica; pediu </w:t>
      </w:r>
      <w:r>
        <w:rPr>
          <w:rFonts w:ascii="Times New Roman" w:cs="Times New Roman" w:eastAsia="Times New Roman" w:hAnsi="Times New Roman"/>
          <w:b/>
          <w:bCs/>
          <w:i w:val="false"/>
          <w:iCs w:val="false"/>
        </w:rPr>
        <w:t xml:space="preserve">mais</w:t>
      </w:r>
      <w:r>
        <w:rPr>
          <w:rFonts w:ascii="Times New Roman" w:cs="Times New Roman" w:eastAsia="Times New Roman" w:hAnsi="Times New Roman"/>
          <w:b w:val="false"/>
          <w:bCs w:val="false"/>
          <w:i w:val="false"/>
          <w:iCs w:val="false"/>
        </w:rPr>
        <w:t xml:space="preserve"> (capitalização semestral) e recebeu conta com capitalização mensal.</w:t>
      </w:r>
    </w:p>
    <w:p>
      <w:pPr>
        <w:pStyle w:val="Heading2"/>
        <w:keepNext/>
      </w:pPr>
      <w:r>
        <w:rPr>
          <w:rFonts w:ascii="Times New Roman" w:cs="Times New Roman" w:eastAsia="Times New Roman" w:hAnsi="Times New Roman"/>
        </w:rPr>
        <w:t xml:space="preserve">A2. O item 2 de fls. 3064/3066 inovou?</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Sim, e a contradição é literal.</w:t>
      </w:r>
      <w:r>
        <w:rPr>
          <w:rFonts w:ascii="Times New Roman" w:cs="Times New Roman" w:eastAsia="Times New Roman" w:hAnsi="Times New Roman"/>
          <w:b w:val="false"/>
          <w:bCs w:val="false"/>
          <w:i w:val="false"/>
          <w:iCs w:val="false"/>
        </w:rPr>
        <w:t xml:space="preserve"> Fls. 3065 e-SAJ: "Nos presentes embargos, o executado inova matéria não suscitada na exceção de pré-executividade, alegando: • Vício no cálculo de liquidação por inclusão indevida de multa e juros moratórios • Cobrança indevida de honorários sucumbenciais não incluídos na cessão. Tais questões não foram objeto da exceção (…) As alegações ora deduzidas constituem matéria nova, não apreciada porque não foi objeto da exceção, sendo imprópria a via eleita para sua discussão." Fls. 3066: "REJEITO os embargos de declaração (…) 2. Não obstante a rejeição dos embargos declaratórios (…) DETERMINO ao exequente que (…) apresente novo cálculo (…) a) atualização monetária exclusivamente do valor principal desde (…) maio/1987 (…) A metodologia apresentada às fls. 3055 não pode subsistir, porquanto importa em contagem de juros sobre juros (…) configurando capitalização vedada em lei."</w:t>
      </w:r>
    </w:p>
    <w:p>
      <w:pPr>
        <w:spacing w:after="120" w:line="360"/>
        <w:jc w:val="both"/>
      </w:pPr>
      <w:r>
        <w:rPr>
          <w:rFonts w:ascii="Times New Roman" w:cs="Times New Roman" w:eastAsia="Times New Roman" w:hAnsi="Times New Roman"/>
          <w:b w:val="false"/>
          <w:bCs w:val="false"/>
          <w:i w:val="false"/>
          <w:iCs w:val="false"/>
        </w:rPr>
        <w:t xml:space="preserve">O juiz declarou a matéria "nova" e "imprópria a via", rejeitou os embargos e, no mesmo ato, decidiu-a de ofício contra a parte que </w:t>
      </w:r>
      <w:r>
        <w:rPr>
          <w:rFonts w:ascii="Times New Roman" w:cs="Times New Roman" w:eastAsia="Times New Roman" w:hAnsi="Times New Roman"/>
          <w:b/>
          <w:bCs/>
          <w:i w:val="false"/>
          <w:iCs w:val="false"/>
        </w:rPr>
        <w:t xml:space="preserve">vencera</w:t>
      </w:r>
      <w:r>
        <w:rPr>
          <w:rFonts w:ascii="Times New Roman" w:cs="Times New Roman" w:eastAsia="Times New Roman" w:hAnsi="Times New Roman"/>
          <w:b w:val="false"/>
          <w:bCs w:val="false"/>
          <w:i w:val="false"/>
          <w:iCs w:val="false"/>
        </w:rPr>
        <w:t xml:space="preserve"> a exceção. Isso (i) ultrapassa os limites do art. 1.022 do CPC (embargos rejeitados não alteram o julgado); (ii) é decisão-surpresa: os exequentes nunca foram ouvidos sobre "anatocismo" da conta de fls. 3055 (arts. 9º e 10 do CPC); (iii) conhece de ofício de encargos de contrato bancário (Súmula 381/STJ, com a ressalva do item A3).</w:t>
      </w:r>
    </w:p>
    <w:p>
      <w:pPr>
        <w:spacing w:after="120" w:line="360"/>
        <w:jc w:val="both"/>
      </w:pPr>
      <w:r>
        <w:rPr>
          <w:rFonts w:ascii="Times New Roman" w:cs="Times New Roman" w:eastAsia="Times New Roman" w:hAnsi="Times New Roman"/>
          <w:b/>
          <w:bCs/>
          <w:i w:val="false"/>
          <w:iCs w:val="false"/>
        </w:rPr>
        <w:t xml:space="preserve">Risco "despacho ordinatório irrecorrível":</w:t>
      </w:r>
      <w:r>
        <w:rPr>
          <w:rFonts w:ascii="Times New Roman" w:cs="Times New Roman" w:eastAsia="Times New Roman" w:hAnsi="Times New Roman"/>
          <w:b w:val="false"/>
          <w:bCs w:val="false"/>
          <w:i w:val="false"/>
          <w:iCs w:val="false"/>
        </w:rPr>
        <w:t xml:space="preserve"> médio. O item 2 tem conteúdo decisório (fixa metodologia, veda base de cálculo, altera o valor exequendo), portanto é decisão interlocutória agravável (art. 1.015, parágrafo único). Mas o agravo ora julgado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contra fls. 3066: é contra fls. 3435/3437. Neutralização: (a) sustentar que fls. 3435/3437 tem fundamentos próprios (não conhecimento da petição de 25/03/2026; qualificação de fls. 3077 como "anuência expressa"; premissa fática de "capitalização" na planilha de fls. 3419) e que é decisão nova, não reiterativa; (b) sustentar que o item 2 de fls. 3066, por ter sido proferido em embargos rejeitados sobre matéria que o próprio juiz declarou "nova", é decisão sem contraditório, cuja invalidade (art. 10) pode ser suscitada no primeiro agravo cabível contra ato que a aplica; (c) admitir com franqueza que os exequentes não agravaram de fls. 3066 e explicar por quê: a decisão de 17/07/2025 (fls. 3082/3084) restituiu prazo apenas aos </w:t>
      </w:r>
      <w:r>
        <w:rPr>
          <w:rFonts w:ascii="Times New Roman" w:cs="Times New Roman" w:eastAsia="Times New Roman" w:hAnsi="Times New Roman"/>
          <w:b/>
          <w:bCs/>
          <w:i w:val="false"/>
          <w:iCs w:val="false"/>
        </w:rPr>
        <w:t xml:space="preserve">executados</w:t>
      </w:r>
      <w:r>
        <w:rPr>
          <w:rFonts w:ascii="Times New Roman" w:cs="Times New Roman" w:eastAsia="Times New Roman" w:hAnsi="Times New Roman"/>
          <w:b w:val="false"/>
          <w:bCs w:val="false"/>
          <w:i w:val="false"/>
          <w:iCs w:val="false"/>
        </w:rPr>
        <w:t xml:space="preserve"> e "DETERMINOU o cumprimento do item 2", o que mostra que o juízo tratou o item 2 como comando executório, não como decisão de mérito sobre a base.</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lado a lado os dois trechos de fls. 3065 e 3066; pedir que a Câmara declare que a metodologia de 1987 nasceu de ato sem contraditório e fora do objeto do incidente; deixar claro que o agravo ataca fls. 3435/3437 e apenas invoca a invalidade de fls. 3066 como causa de pedir.</w:t>
      </w:r>
    </w:p>
    <w:p>
      <w:pPr>
        <w:pStyle w:val="Heading2"/>
        <w:keepNext/>
      </w:pPr>
      <w:r>
        <w:rPr>
          <w:rFonts w:ascii="Times New Roman" w:cs="Times New Roman" w:eastAsia="Times New Roman" w:hAnsi="Times New Roman"/>
        </w:rPr>
        <w:t xml:space="preserve">A3. Natureza da conta de 1995 e adequação dos artigos</w:t>
      </w:r>
    </w:p>
    <w:p>
      <w:pPr>
        <w:spacing w:after="120" w:line="360"/>
        <w:jc w:val="both"/>
      </w:pP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a conta de 1995 é a liquidação ordenada pela sentença dos embargos, transitada em julgado (Bloco J4). O enquadramento passa a ser: coisa julgada material quanto aos encargos, anatocismo e forma de contagem (arts. 502, 503 e 508), e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quanto ao valor homologado (arts. 505 e 507). O art. 509, § 4º, deixa de ser só analogia, porque a homologação cumpre uma sentença, mas continua sendo invocado com cautela, porque o título executivo é extrajudicial.</w:t>
      </w:r>
    </w:p>
    <w:p>
      <w:pPr>
        <w:spacing w:after="120" w:line="360"/>
        <w:jc w:val="both"/>
      </w:pPr>
      <w:r>
        <w:rPr>
          <w:rFonts w:ascii="Times New Roman" w:cs="Times New Roman" w:eastAsia="Times New Roman" w:hAnsi="Times New Roman"/>
          <w:b w:val="false"/>
          <w:bCs w:val="false"/>
          <w:i w:val="false"/>
          <w:iCs w:val="false"/>
        </w:rPr>
        <w:t xml:space="preserve">🟨 A conta de 1995 é conta de </w:t>
      </w:r>
      <w:r>
        <w:rPr>
          <w:rFonts w:ascii="Times New Roman" w:cs="Times New Roman" w:eastAsia="Times New Roman" w:hAnsi="Times New Roman"/>
          <w:b/>
          <w:bCs/>
          <w:i w:val="false"/>
          <w:iCs w:val="false"/>
        </w:rPr>
        <w:t xml:space="preserve">atualização/liquidação em execução de título extrajudicial</w:t>
      </w:r>
      <w:r>
        <w:rPr>
          <w:rFonts w:ascii="Times New Roman" w:cs="Times New Roman" w:eastAsia="Times New Roman" w:hAnsi="Times New Roman"/>
          <w:b w:val="false"/>
          <w:bCs w:val="false"/>
          <w:i w:val="false"/>
          <w:iCs w:val="false"/>
        </w:rPr>
        <w:t xml:space="preserve"> (CPC/73, art. 604 na redação da Lei 8.898/94), homologada por decisão interlocutória. Não há coisa julgada material. O EDcl no REsp 1.229.406/SP (1ª T., Rel. Min. Benedito Gonçalves, j. 16/02/2012, DJe 07/03/2012) trata de </w:t>
      </w:r>
      <w:r>
        <w:rPr>
          <w:rFonts w:ascii="Times New Roman" w:cs="Times New Roman" w:eastAsia="Times New Roman" w:hAnsi="Times New Roman"/>
          <w:b/>
          <w:bCs/>
          <w:i w:val="false"/>
          <w:iCs w:val="false"/>
        </w:rPr>
        <w:t xml:space="preserve">título judicial</w:t>
      </w:r>
      <w:r>
        <w:rPr>
          <w:rFonts w:ascii="Times New Roman" w:cs="Times New Roman" w:eastAsia="Times New Roman" w:hAnsi="Times New Roman"/>
          <w:b w:val="false"/>
          <w:bCs w:val="false"/>
          <w:i w:val="false"/>
          <w:iCs w:val="false"/>
        </w:rPr>
        <w:t xml:space="preserve"> (desapropriação indireta), conta homologada por sentença transitada e rescisória frustrada. Ainda assim, a ementa fala em "eficácia preclusiva da decisão de homologação" e os precedentes transcritos (EREsp 232.140/CE; EREsp 98.528/DF; EREsp 163.650/RS, Corte Especial) tratam de "sentença homologatória a salvo de recurso", ou seja, preclusão. Serve por analogia forte, com a ressalva expressa.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92"/>
        <w:gridCol w:w="797"/>
        <w:gridCol w:w="5982"/>
      </w:tblGrid>
      <w:tr>
        <w:trPr>
          <w:cantSplit/>
          <w:tblHeader/>
        </w:trPr>
        <w:tc>
          <w:tcPr>
            <w:tcW w:type="dxa" w:w="22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Artigo citado no agravo</w:t>
            </w:r>
          </w:p>
        </w:tc>
        <w:tc>
          <w:tcPr>
            <w:tcW w:type="dxa" w:w="79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59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Comentário</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505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w:t>
            </w:r>
            <w:r>
              <w:rPr>
                <w:rFonts w:ascii="Times New Roman" w:cs="Times New Roman" w:eastAsia="Times New Roman" w:hAnsi="Times New Roman"/>
                <w:b w:val="false"/>
                <w:bCs w:val="false"/>
                <w:i/>
                <w:iCs/>
                <w:sz w:val="19"/>
                <w:szCs w:val="19"/>
              </w:rPr>
              <w:t xml:space="preserve">pro judicato</w:t>
            </w:r>
            <w:r>
              <w:rPr>
                <w:rFonts w:ascii="Times New Roman" w:cs="Times New Roman" w:eastAsia="Times New Roman" w:hAnsi="Times New Roman"/>
                <w:b w:val="false"/>
                <w:bCs w:val="false"/>
                <w:i w:val="false"/>
                <w:iCs w:val="false"/>
                <w:sz w:val="19"/>
                <w:szCs w:val="19"/>
              </w:rPr>
              <w:t xml:space="preserve">; equivale ao art. 471 CPC/73, vigente em 1995</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507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para as partes; equivale ao art. 473 CPC/73</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Trata da coisa julgada de sentença de mérito. Não se aplica a interlocutória em execução extrajudicial.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Rege liquidação de sentença. Usar só como analogia ("</w:t>
            </w:r>
            <w:r>
              <w:rPr>
                <w:rFonts w:ascii="Times New Roman" w:cs="Times New Roman" w:eastAsia="Times New Roman" w:hAnsi="Times New Roman"/>
                <w:b w:val="false"/>
                <w:bCs w:val="false"/>
                <w:i/>
                <w:iCs/>
                <w:sz w:val="19"/>
                <w:szCs w:val="19"/>
              </w:rPr>
              <w:t xml:space="preserve">mutatis mutandis</w:t>
            </w: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337, § 5º c/c 508</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não está entre as matérias de ofício do art. 337.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381/STJ</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"Nos contratos bancários, é vedado ao julgador conhecer, de ofício, da abusividade das cláusulas." O repetitivo de origem (REsp 1.061.530/RS, 2ª Seção, 22/10/2008) </w:t>
            </w:r>
            <w:r>
              <w:rPr>
                <w:rFonts w:ascii="Times New Roman" w:cs="Times New Roman" w:eastAsia="Times New Roman" w:hAnsi="Times New Roman"/>
                <w:b/>
                <w:bCs/>
                <w:i w:val="false"/>
                <w:iCs w:val="false"/>
                <w:sz w:val="19"/>
                <w:szCs w:val="19"/>
              </w:rPr>
              <w:t xml:space="preserve">excluiu</w:t>
            </w:r>
            <w:r>
              <w:rPr>
                <w:rFonts w:ascii="Times New Roman" w:cs="Times New Roman" w:eastAsia="Times New Roman" w:hAnsi="Times New Roman"/>
                <w:b w:val="false"/>
                <w:bCs w:val="false"/>
                <w:i w:val="false"/>
                <w:iCs w:val="false"/>
                <w:sz w:val="19"/>
                <w:szCs w:val="19"/>
              </w:rPr>
              <w:t xml:space="preserve"> da delimitação as "cédulas de crédito rural, industrial, bancária e comercial". Usar a súmula pelo princípio (vedação de revisão de ofício), com a ressalva</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formal"</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Adequado para a decisão de fls. 203 irrecorrida</w:t>
            </w:r>
          </w:p>
        </w:tc>
      </w:tr>
    </w:tbl>
    <w:p>
      <w:pPr>
        <w:spacing w:after="120"/>
      </w:pPr>
    </w:p>
    <w:p>
      <w:pPr>
        <w:spacing w:after="120" w:line="360"/>
        <w:jc w:val="both"/>
      </w:pPr>
      <w:r>
        <w:rPr>
          <w:rFonts w:ascii="Times New Roman" w:cs="Times New Roman" w:eastAsia="Times New Roman" w:hAnsi="Times New Roman"/>
          <w:b/>
          <w:bCs/>
          <w:i w:val="false"/>
          <w:iCs w:val="false"/>
        </w:rPr>
        <w:t xml:space="preserve">Redação correta sugerida:</w:t>
      </w:r>
      <w:r>
        <w:rPr>
          <w:rFonts w:ascii="Times New Roman" w:cs="Times New Roman" w:eastAsia="Times New Roman" w:hAnsi="Times New Roman"/>
          <w:b w:val="false"/>
          <w:bCs w:val="false"/>
          <w:i w:val="false"/>
          <w:iCs w:val="false"/>
        </w:rPr>
        <w:t xml:space="preserve"> "A decisão de fls. 203 e-SAJ / 152 física, irrecorrida (certidão de fls. 204), fixou a base do débito. Sobre ela incidem a preclusão </w:t>
      </w:r>
      <w:r>
        <w:rPr>
          <w:rFonts w:ascii="Times New Roman" w:cs="Times New Roman" w:eastAsia="Times New Roman" w:hAnsi="Times New Roman"/>
          <w:b w:val="false"/>
          <w:bCs w:val="false"/>
          <w:i/>
          <w:iCs/>
        </w:rPr>
        <w:t xml:space="preserve">pro judicato</w:t>
      </w:r>
      <w:r>
        <w:rPr>
          <w:rFonts w:ascii="Times New Roman" w:cs="Times New Roman" w:eastAsia="Times New Roman" w:hAnsi="Times New Roman"/>
          <w:b w:val="false"/>
          <w:bCs w:val="false"/>
          <w:i w:val="false"/>
          <w:iCs w:val="false"/>
        </w:rPr>
        <w:t xml:space="preserve"> (art. 471 do CPC/73; art. 505 do CPC/2015) e a preclusão para as partes (art. 473 do CPC/73; art. 507 do CPC/2015). A revisão de ofício de encargos de cédula bancária, trinta anos depois, viola ainda o princípio da Súmula 381/STJ e os arts. 9º e 10 do CPC."</w:t>
      </w:r>
    </w:p>
    <w:p>
      <w:pPr>
        <w:pStyle w:val="Heading2"/>
        <w:keepNext/>
      </w:pPr>
      <w:r>
        <w:rPr>
          <w:rFonts w:ascii="Times New Roman" w:cs="Times New Roman" w:eastAsia="Times New Roman" w:hAnsi="Times New Roman"/>
        </w:rPr>
        <w:t xml:space="preserve">A4. "Anatocismo é matéria de ordem pública, sem preclusão"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linha que prevalece hoje é a da preclusão, mesmo de matéria de ordem pública</w:t>
      </w:r>
      <w:r>
        <w:rPr>
          <w:rFonts w:ascii="Times New Roman" w:cs="Times New Roman" w:eastAsia="Times New Roman" w:hAnsi="Times New Roman"/>
          <w:b w:val="false"/>
          <w:bCs w:val="false"/>
          <w:i w:val="false"/>
          <w:iCs w:val="false"/>
        </w:rPr>
        <w:t xml:space="preserve">, quando há decisão homologatória expressa não impugnada.</w:t>
      </w:r>
    </w:p>
    <w:p>
      <w:pPr>
        <w:spacing w:after="120" w:line="360"/>
        <w:jc w:val="both"/>
      </w:pPr>
      <w:r>
        <w:rPr>
          <w:rFonts w:ascii="Times New Roman" w:cs="Times New Roman" w:eastAsia="Times New Roman" w:hAnsi="Times New Roman"/>
          <w:b w:val="false"/>
          <w:bCs w:val="false"/>
          <w:i w:val="false"/>
          <w:iCs w:val="false"/>
        </w:rPr>
        <w:t xml:space="preserve">A FAVOR (todos na pasta):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1ª T., </w:t>
      </w:r>
      <w:r>
        <w:rPr>
          <w:rFonts w:ascii="Times New Roman" w:cs="Times New Roman" w:eastAsia="Times New Roman" w:hAnsi="Times New Roman"/>
          <w:b/>
          <w:bCs/>
          <w:i w:val="false"/>
          <w:iCs w:val="false"/>
        </w:rPr>
        <w:t xml:space="preserve">EDcl no REsp 1.229.406/SP</w:t>
      </w:r>
      <w:r>
        <w:rPr>
          <w:rFonts w:ascii="Times New Roman" w:cs="Times New Roman" w:eastAsia="Times New Roman" w:hAnsi="Times New Roman"/>
          <w:b w:val="false"/>
          <w:bCs w:val="false"/>
          <w:i w:val="false"/>
          <w:iCs w:val="false"/>
        </w:rPr>
        <w:t xml:space="preserve">, Rel. Min. Benedito Gonçalves, j. 16/02/2012, DJe 07/03/2012 (Radi Macruz x DERSA): "não há como se afastar a eficácia preclusiva da decisão de homologação (…) não sendo mais possível se indagar a respeito da capitalização de juros ou anatocismo, 'independentemente do acerto ou desacerto dos critérios utilizados na formulação da conta'". Confirmado no </w:t>
      </w:r>
      <w:r>
        <w:rPr>
          <w:rFonts w:ascii="Times New Roman" w:cs="Times New Roman" w:eastAsia="Times New Roman" w:hAnsi="Times New Roman"/>
          <w:b/>
          <w:bCs/>
          <w:i w:val="false"/>
          <w:iCs w:val="false"/>
        </w:rPr>
        <w:t xml:space="preserve">EREsp 1.229.406/SP</w:t>
      </w:r>
      <w:r>
        <w:rPr>
          <w:rFonts w:ascii="Times New Roman" w:cs="Times New Roman" w:eastAsia="Times New Roman" w:hAnsi="Times New Roman"/>
          <w:b w:val="false"/>
          <w:bCs w:val="false"/>
          <w:i w:val="false"/>
          <w:iCs w:val="false"/>
        </w:rPr>
        <w:t xml:space="preserve"> (Min. João Otávio de Noronha, decisão de 05/08/2014, DJe 12/08/2014), que </w:t>
      </w:r>
      <w:r>
        <w:rPr>
          <w:rFonts w:ascii="Times New Roman" w:cs="Times New Roman" w:eastAsia="Times New Roman" w:hAnsi="Times New Roman"/>
          <w:b/>
          <w:bCs/>
          <w:i w:val="false"/>
          <w:iCs w:val="false"/>
        </w:rPr>
        <w:t xml:space="preserve">distinguiu o REsp 148.938/RJ</w:t>
      </w:r>
      <w:r>
        <w:rPr>
          <w:rFonts w:ascii="Times New Roman" w:cs="Times New Roman" w:eastAsia="Times New Roman" w:hAnsi="Times New Roman"/>
          <w:b w:val="false"/>
          <w:bCs w:val="false"/>
          <w:i w:val="false"/>
          <w:iCs w:val="false"/>
        </w:rPr>
        <w:t xml:space="preserve">: os paradigmas "versaram acerca da discussão quanto à viabilidade de se alterar a sentença liquidanda em caso de erro material de cálculo", enquanto a conta homologada por decisão transitada é "imutável".</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2.019.623/SP</w:t>
      </w:r>
      <w:r>
        <w:rPr>
          <w:rFonts w:ascii="Times New Roman" w:cs="Times New Roman" w:eastAsia="Times New Roman" w:hAnsi="Times New Roman"/>
          <w:b w:val="false"/>
          <w:bCs w:val="false"/>
          <w:i w:val="false"/>
          <w:iCs w:val="false"/>
        </w:rPr>
        <w:t xml:space="preserve">, Rel. Min. Raul Araújo, sessão 13-19/09/2022: "sujeitam-se à preclusão consumativa as questões decididas no processo, inclusive as de ordem pública, que não tenham sido objeto de impugnação recursal no momento próprio".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AgInt no REsp 1.476.534/CE</w:t>
      </w:r>
      <w:r>
        <w:rPr>
          <w:rFonts w:ascii="Times New Roman" w:cs="Times New Roman" w:eastAsia="Times New Roman" w:hAnsi="Times New Roman"/>
          <w:b w:val="false"/>
          <w:bCs w:val="false"/>
          <w:i w:val="false"/>
          <w:iCs w:val="false"/>
        </w:rPr>
        <w:t xml:space="preserve">, Rel. Min. Og Fernandes, sessão 10-16/08/2021: "As matérias de ordem pública (…) não se sujeitam à preclusão temporal, porém ficam acobertadas tanto pela preclusão consumativa como pela preclusão lógica."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AgInt no REsp 2.127.021/DF</w:t>
      </w:r>
      <w:r>
        <w:rPr>
          <w:rFonts w:ascii="Times New Roman" w:cs="Times New Roman" w:eastAsia="Times New Roman" w:hAnsi="Times New Roman"/>
          <w:b w:val="false"/>
          <w:bCs w:val="false"/>
          <w:i w:val="false"/>
          <w:iCs w:val="false"/>
        </w:rPr>
        <w:t xml:space="preserve">, Rel. Min. Humberto Martins, sessão 13-19/08/2024 (execução de título extrajudicial; TERRACAP): "O erro material, passível de alteração a qualquer tempo, é aquele evidente, derivado de simples cálculo aritmético ou inexatidão material e não aquele decorrente de elementos ou critérios de cálculo"; "A decisão judicial que homologa os cálculos (…) está sujeita à preclusão".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2.500.976/PR</w:t>
      </w:r>
      <w:r>
        <w:rPr>
          <w:rFonts w:ascii="Times New Roman" w:cs="Times New Roman" w:eastAsia="Times New Roman" w:hAnsi="Times New Roman"/>
          <w:b w:val="false"/>
          <w:bCs w:val="false"/>
          <w:i w:val="false"/>
          <w:iCs w:val="false"/>
        </w:rPr>
        <w:t xml:space="preserve">, Rel. Min. João Otávio de Noronha, sessão 03-09/03/2026, DJEN 12/03/2026 (execução de título extrajudicial bancário cedido a securitizadora): "Concordância expressa com a conta homologada acarreta preclusão lógica"; ataque a "critérios de cálculo, não simples inexatidões aritméticas".</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REsp 1.861.550/DF</w:t>
      </w:r>
      <w:r>
        <w:rPr>
          <w:rFonts w:ascii="Times New Roman" w:cs="Times New Roman" w:eastAsia="Times New Roman" w:hAnsi="Times New Roman"/>
          <w:b w:val="false"/>
          <w:bCs w:val="false"/>
          <w:i w:val="false"/>
          <w:iCs w:val="false"/>
        </w:rPr>
        <w:t xml:space="preserve">, Rel. Min. Og Fernandes, j. 16/06/2020: rejeita recálculo de ofício de encargos "por se tratar de matéria de ordem pública" quando há decisão estabilizada.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19ª CDP, </w:t>
      </w:r>
      <w:r>
        <w:rPr>
          <w:rFonts w:ascii="Times New Roman" w:cs="Times New Roman" w:eastAsia="Times New Roman" w:hAnsi="Times New Roman"/>
          <w:b/>
          <w:bCs/>
          <w:i w:val="false"/>
          <w:iCs w:val="false"/>
        </w:rPr>
        <w:t xml:space="preserve">AI 2250267-55.2023.8.26.0000</w:t>
      </w:r>
      <w:r>
        <w:rPr>
          <w:rFonts w:ascii="Times New Roman" w:cs="Times New Roman" w:eastAsia="Times New Roman" w:hAnsi="Times New Roman"/>
          <w:b w:val="false"/>
          <w:bCs w:val="false"/>
          <w:i w:val="false"/>
          <w:iCs w:val="false"/>
        </w:rPr>
        <w:t xml:space="preserve"> (Barueri), Rel. Des. Cláudia Grieco Tabosa Pessoa, j. 11/12/2023: "FLAGRANTE PRECLUSÃO DA MATÉRIA. Homologação objeto de decisório anterior, do qual não sobreveio recurso".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7ª CDP, </w:t>
      </w:r>
      <w:r>
        <w:rPr>
          <w:rFonts w:ascii="Times New Roman" w:cs="Times New Roman" w:eastAsia="Times New Roman" w:hAnsi="Times New Roman"/>
          <w:b/>
          <w:bCs/>
          <w:i w:val="false"/>
          <w:iCs w:val="false"/>
        </w:rPr>
        <w:t xml:space="preserve">AI 2401202-39.2025.8.26.0000</w:t>
      </w:r>
      <w:r>
        <w:rPr>
          <w:rFonts w:ascii="Times New Roman" w:cs="Times New Roman" w:eastAsia="Times New Roman" w:hAnsi="Times New Roman"/>
          <w:b w:val="false"/>
          <w:bCs w:val="false"/>
          <w:i w:val="false"/>
          <w:iCs w:val="false"/>
        </w:rPr>
        <w:t xml:space="preserve"> (Santo André), Rel. Des. Pastorelo Kfouri, j. 30/04/2026: "A ausência de impugnação aos cálculos na fase de liquidação implica preclusão e legitima sua homologação"; multa de 2% por má-fé ao devedor.</w:t>
      </w:r>
    </w:p>
    <w:p>
      <w:pPr>
        <w:spacing w:after="120" w:line="360"/>
        <w:jc w:val="both"/>
      </w:pPr>
      <w:r>
        <w:rPr>
          <w:rFonts w:ascii="Times New Roman" w:cs="Times New Roman" w:eastAsia="Times New Roman" w:hAnsi="Times New Roman"/>
          <w:b w:val="false"/>
          <w:bCs w:val="false"/>
          <w:i w:val="false"/>
          <w:iCs w:val="false"/>
        </w:rPr>
        <w:t xml:space="preserve">CONTRA (a distinguir):</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REsp 148.938/RJ</w:t>
      </w:r>
      <w:r>
        <w:rPr>
          <w:rFonts w:ascii="Times New Roman" w:cs="Times New Roman" w:eastAsia="Times New Roman" w:hAnsi="Times New Roman"/>
          <w:b w:val="false"/>
          <w:bCs w:val="false"/>
          <w:i w:val="false"/>
          <w:iCs w:val="false"/>
        </w:rPr>
        <w:t xml:space="preserve">, Rel. Min. Waldemar Zveiter (vencido em parte; voto prevalente do Min. Ari Pargendler), j. 12/09/2000, DJ 12/03/2001: ementa II "Em liquidação, a preclusão de despacho não pode servir de escudo para perpetuar mudanças no decidido pela sentença liquidanda"; III "A prática do anatocismo é vedada".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(a) lá o ato "precluso" era mero despacho de orientação pericial (Pargendler: "irrecorríveis e, portanto, insuscetíveis de preclusão"), e a sentença de liquidação estava sob recurso; aqui há decisão homologatória expressa, publicada, com certidão de decurso de prazo; (b) o próprio voto ressalva a Súmula 93/STJ ("A capitalização de juros só é permitida em casos excepcionais, como ocorre com a Súmula 93/STJ"), e a cédula industrial é exatamente esse caso; (c) o STJ já fez a distinção no EREsp 1.229.406.</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TJSP, 20ª CDP, </w:t>
      </w:r>
      <w:r>
        <w:rPr>
          <w:rFonts w:ascii="Times New Roman" w:cs="Times New Roman" w:eastAsia="Times New Roman" w:hAnsi="Times New Roman"/>
          <w:b/>
          <w:bCs/>
          <w:i w:val="false"/>
          <w:iCs w:val="false"/>
        </w:rPr>
        <w:t xml:space="preserve">AI 2123223-58.2020.8.26.0000</w:t>
      </w:r>
      <w:r>
        <w:rPr>
          <w:rFonts w:ascii="Times New Roman" w:cs="Times New Roman" w:eastAsia="Times New Roman" w:hAnsi="Times New Roman"/>
          <w:b w:val="false"/>
          <w:bCs w:val="false"/>
          <w:i w:val="false"/>
          <w:iCs w:val="false"/>
        </w:rPr>
        <w:t xml:space="preserve">, Rel. Des. Rebello Pinho, j. 24/08/2020: </w:t>
      </w:r>
      <w:r>
        <w:rPr>
          <w:rFonts w:ascii="Times New Roman" w:cs="Times New Roman" w:eastAsia="Times New Roman" w:hAnsi="Times New Roman"/>
          <w:b/>
          <w:bCs/>
          <w:i w:val="false"/>
          <w:iCs w:val="false"/>
        </w:rPr>
        <w:t xml:space="preserve">reformou</w:t>
      </w:r>
      <w:r>
        <w:rPr>
          <w:rFonts w:ascii="Times New Roman" w:cs="Times New Roman" w:eastAsia="Times New Roman" w:hAnsi="Times New Roman"/>
          <w:b w:val="false"/>
          <w:bCs w:val="false"/>
          <w:i w:val="false"/>
          <w:iCs w:val="false"/>
        </w:rPr>
        <w:t xml:space="preserve"> homologação de conta da Contadoria por desconformidade com o título judicial. Distinção: fidelidade ao título; aqui o título (cédula) prevê capitalização e a conta de 1995 lhe é fiel.</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Precedente sobre erro material: AgInt no REsp 2.127.021 e AgInt no AREsp 2.500.976 dizem que critério de juros e capitalização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erro material. Isso responde ao art. 494, I.</w:t>
      </w:r>
    </w:p>
    <w:p>
      <w:pPr>
        <w:spacing w:after="120" w:line="360"/>
        <w:jc w:val="both"/>
      </w:pPr>
      <w:r>
        <w:rPr>
          <w:rFonts w:ascii="Times New Roman" w:cs="Times New Roman" w:eastAsia="Times New Roman" w:hAnsi="Times New Roman"/>
          <w:b w:val="false"/>
          <w:bCs w:val="false"/>
          <w:i w:val="false"/>
          <w:iCs w:val="false"/>
        </w:rPr>
        <w:t xml:space="preserve">Na 13ª CDP: não localizei acórdão específico sobre conta homologada. O que existe é a própria Relatora aplicando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"retrocesso indevido" (transcrevendo a decisão de 1º grau e adotando-a) no AI 2353386, quanto à avaliação. Nas 3ª e 4ª Turmas do STJ: linha uniforme de preclusão (2.127.021; 2.500.976; 2.019.623; 1.122.847).</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antecipar o REsp 148.938/RJ e o art. 494, I, e responder com o EREsp 1.229.406 (distinção feita pelo próprio STJ) e com a dupla "critério ≠ erro material" (2.127.021 e 2.500.976).</w:t>
      </w:r>
    </w:p>
    <w:p>
      <w:pPr>
        <w:pStyle w:val="Heading2"/>
        <w:keepNext/>
      </w:pPr>
      <w:r>
        <w:rPr>
          <w:rFonts w:ascii="Times New Roman" w:cs="Times New Roman" w:eastAsia="Times New Roman" w:hAnsi="Times New Roman"/>
        </w:rPr>
        <w:t xml:space="preserve">A5. Efeito devolutivo do AI 2236642-80.2025</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favor dos exequentes, com uma reserva.</w:t>
      </w:r>
      <w:r>
        <w:rPr>
          <w:rFonts w:ascii="Times New Roman" w:cs="Times New Roman" w:eastAsia="Times New Roman" w:hAnsi="Times New Roman"/>
          <w:b w:val="false"/>
          <w:bCs w:val="false"/>
          <w:i w:val="false"/>
          <w:iCs w:val="false"/>
        </w:rPr>
        <w:t xml:space="preserve"> O acórdão (13ª CDP, j. 07/10/2025, v.u.) fixou: "a única tese ali deduzida foi o excesso de execução decorrente da suposta inclusão de encargos contratuais (…) sendo os cessionários (…) pessoas físicas"; a inclusão de multa/honorários "constituiu indevida inovação, veiculada apenas por ocasião da oposição de embargos de declaração"; "inviável sua análise originariamente no âmbito do presente recurso, sob pena de indevida supressão de um grau de jurisdição"; "mantida, no mais, a respeitável decisão de primeiro grau".</w:t>
      </w:r>
    </w:p>
    <w:p>
      <w:pPr>
        <w:spacing w:after="120" w:line="360"/>
        <w:jc w:val="both"/>
      </w:pPr>
      <w:r>
        <w:rPr>
          <w:rFonts w:ascii="Times New Roman" w:cs="Times New Roman" w:eastAsia="Times New Roman" w:hAnsi="Times New Roman"/>
          <w:b w:val="false"/>
          <w:bCs w:val="false"/>
          <w:i w:val="false"/>
          <w:iCs w:val="false"/>
        </w:rPr>
        <w:t xml:space="preserve">Consequências: (i) o executado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podia, por embargos de declaração, ampliar a exceção; logo o item 2 de fls. 3066, que acolheu de ofício a tese ampliada (anatocismo da conta de fls. 3055), decidiu além do objeto do incidente; (ii) a Câmara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 e honorários, e "mantida no mais" abrange a decisão de fls. 3038/3044 (que o executado agravou), não gera coisa julgada sobre o item 2 de fls. 3066 em desfavor dos exequentes, que não eram recorrentes. Reserva: o acórdão diz que o AI foi contra fls. 3038/3044 </w:t>
      </w:r>
      <w:r>
        <w:rPr>
          <w:rFonts w:ascii="Times New Roman" w:cs="Times New Roman" w:eastAsia="Times New Roman" w:hAnsi="Times New Roman"/>
          <w:b/>
          <w:bCs/>
          <w:i w:val="false"/>
          <w:iCs w:val="false"/>
        </w:rPr>
        <w:t xml:space="preserve">e</w:t>
      </w:r>
      <w:r>
        <w:rPr>
          <w:rFonts w:ascii="Times New Roman" w:cs="Times New Roman" w:eastAsia="Times New Roman" w:hAnsi="Times New Roman"/>
          <w:b w:val="false"/>
          <w:bCs w:val="false"/>
          <w:i w:val="false"/>
          <w:iCs w:val="false"/>
        </w:rPr>
        <w:t xml:space="preserve"> 3064/3066 (fls. 3117/3119); a Relatora poderá dizer que o item 2 ficou "mantido no mais". Resposta: o item 2 beneficiava o executado; ninguém o impugnou naquele agravo; "mantida no mais" só alcança o que foi devolvido (art. 1.013, § 1º, por analogia).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usar o acórdão como prova de que a metodologia de 1987 é matéria que a própria Câmara declarou estranha à exceção; nunca sustentar que "mantida no mais" cobriu o item 2.</w:t>
      </w:r>
    </w:p>
    <w:p>
      <w:pPr>
        <w:pStyle w:val="Heading2"/>
        <w:keepNext/>
      </w:pPr>
      <w:r>
        <w:rPr>
          <w:rFonts w:ascii="Times New Roman" w:cs="Times New Roman" w:eastAsia="Times New Roman" w:hAnsi="Times New Roman"/>
        </w:rPr>
        <w:t xml:space="preserve">A6. Decisões anteriores sobre cálculo (2007-2026) e preclusão contra os exequentes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Nenhuma decisão anterior a fls. 3064/3066 fixou metodologia ou mandou partir de 1987.</w:t>
      </w:r>
      <w:r>
        <w:rPr>
          <w:rFonts w:ascii="Times New Roman" w:cs="Times New Roman" w:eastAsia="Times New Roman" w:hAnsi="Times New Roman"/>
          <w:b w:val="false"/>
          <w:bCs w:val="false"/>
          <w:i w:val="false"/>
          <w:iCs w:val="false"/>
        </w:rPr>
        <w:t xml:space="preserve"> Com a leitura integral de fls. 55 a 173, a cadeia de 1987 a 1995 ficou completa: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0"/>
        <w:gridCol w:w="1269"/>
        <w:gridCol w:w="1739"/>
        <w:gridCol w:w="2820"/>
        <w:gridCol w:w="2773"/>
      </w:tblGrid>
      <w:tr>
        <w:trPr>
          <w:cantSplit/>
          <w:tblHeader/>
        </w:trPr>
        <w:tc>
          <w:tcPr>
            <w:tcW w:type="dxa" w:w="4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12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7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Juízo</w:t>
            </w:r>
          </w:p>
        </w:tc>
        <w:tc>
          <w:tcPr>
            <w:tcW w:type="dxa" w:w="2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Comando</w:t>
            </w:r>
          </w:p>
        </w:tc>
        <w:tc>
          <w:tcPr>
            <w:tcW w:type="dxa" w:w="27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Reação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14/04/1988</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69 / 36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escrevente</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embargos oposto por Chavantes Agropecuária Ltda-ME e Sergio Bueno Pereira da Cunha, foram apensados ao presente feito"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18/01/1989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77 / 42v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"Aguarde-se a solução a ser dada na consignatória em apenso, suspendendo-se o andamento dos embargos"</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05/09/1989</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85/87 / 50/52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 (Consignação nº 20/89)</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ajuizou consignatória invocando "anistia constitucional"; extinta sem mérito (art. 267, VI, CPC/73): "a consignante ao demandar o banco já estava em mora"; honorários de 15%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09/03/1990</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89/90 / 53v/54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Cucinelli</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"Prossiga-se com os embargos em apenso"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29/12/1993</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 / 55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nomeia a perita Maria Angélica André Carbonieri</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23/06/1994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164 / 121v</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"Por ora, remetam-se os autos ao Contador para elaboração da conta de liquidação"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165/168 / 122/125</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R$ 161.057,71 (juros simples; "HONORÁRIOS 20%")</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08/02/1995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169 / 126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"Digam sobre o cálculo de fls. 122 a 125" (IMESP 15/02/95)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o Banespa impugnou</w:t>
            </w:r>
            <w:r>
              <w:rPr>
                <w:rFonts w:ascii="Times New Roman" w:cs="Times New Roman" w:eastAsia="Times New Roman" w:hAnsi="Times New Roman"/>
                <w:b w:val="false"/>
                <w:bCs w:val="false"/>
                <w:i w:val="false"/>
                <w:iCs w:val="false"/>
                <w:sz w:val="19"/>
                <w:szCs w:val="19"/>
              </w:rPr>
              <w:t xml:space="preserve"> (fls. 174/175); o executado silenciou</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23/03/1995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 / "133"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 para ratificar ou retificar</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179/183 / 134/137</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 R$ 6.975.016,65</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29/12/1995: sem manifestação das partes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07/12/2011</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1461/1463)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"Providencie a parte exequente (…) o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19/12/2011 (fls. 2583 e-SAJ),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16/05/2012</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788/789 / 659</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indefere redução de penhora; nada sobre método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27/04/2017</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 913</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há que se falar em conta de liquidação a ser homologada"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favorável aos exequentes</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14/03/2024</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1932/1933 (CP 395/396)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(Trancoso)</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"atualização do valor do débito (…) incumbe ao exequente, que ora se determina"</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18/03 e 19/04/2024,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3038/3044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"Apresente o exequente cálculo atualizado do débito"</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14/05/2025, sem ressalva</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29/05/2025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3064/3066</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item 2: metodologia de 1987</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04/06/2025, </w:t>
            </w:r>
            <w:r>
              <w:rPr>
                <w:rFonts w:ascii="Times New Roman" w:cs="Times New Roman" w:eastAsia="Times New Roman" w:hAnsi="Times New Roman"/>
                <w:b/>
                <w:bCs/>
                <w:i w:val="false"/>
                <w:iCs w:val="false"/>
                <w:sz w:val="19"/>
                <w:szCs w:val="19"/>
              </w:rPr>
              <w:t xml:space="preserve">sem ressalva e sem recurso</w:t>
            </w:r>
          </w:p>
        </w:tc>
      </w:tr>
      <w:tr>
        <w:trPr>
          <w:cantSplit/>
          <w:tblHeader w:val="false"/>
        </w:trPr>
        <w:tc>
          <w:tcPr>
            <w:tcW w:type="dxa" w:w="4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17/07/2025</w:t>
            </w:r>
          </w:p>
        </w:tc>
        <w:tc>
          <w:tcPr>
            <w:tcW w:type="dxa" w:w="12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3082/3084</w:t>
            </w:r>
          </w:p>
        </w:tc>
        <w:tc>
          <w:tcPr>
            <w:tcW w:type="dxa" w:w="17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2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"DETERMINO o cumprimento do item 2"</w:t>
            </w:r>
          </w:p>
        </w:tc>
        <w:tc>
          <w:tcPr>
            <w:tcW w:type="dxa" w:w="27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recurso</w:t>
            </w:r>
          </w:p>
        </w:tc>
      </w:tr>
    </w:tbl>
    <w:p>
      <w:pPr>
        <w:spacing w:after="120"/>
      </w:pPr>
    </w:p>
    <w:p>
      <w:pPr>
        <w:spacing w:after="120" w:line="360"/>
        <w:jc w:val="both"/>
      </w:pPr>
      <w:r>
        <w:rPr>
          <w:rFonts w:ascii="Times New Roman" w:cs="Times New Roman" w:eastAsia="Times New Roman" w:hAnsi="Times New Roman"/>
          <w:b/>
          <w:bCs/>
          <w:i w:val="false"/>
          <w:iCs w:val="false"/>
        </w:rPr>
        <w:t xml:space="preserve">AgInt no AREsp 1.539.138/SP</w:t>
      </w:r>
      <w:r>
        <w:rPr>
          <w:rFonts w:ascii="Times New Roman" w:cs="Times New Roman" w:eastAsia="Times New Roman" w:hAnsi="Times New Roman"/>
          <w:b w:val="false"/>
          <w:bCs w:val="false"/>
          <w:i w:val="false"/>
          <w:iCs w:val="false"/>
        </w:rPr>
        <w:t xml:space="preserve"> (🟩 lido): decisão monocrática do Min. Napoleão Nunes Maia Filho, 25/11/2020, em juízo de reconsideração da decisão da Presidência (05/08/2019, DJe 08/08/2019); execução de título </w:t>
      </w:r>
      <w:r>
        <w:rPr>
          <w:rFonts w:ascii="Times New Roman" w:cs="Times New Roman" w:eastAsia="Times New Roman" w:hAnsi="Times New Roman"/>
          <w:b/>
          <w:bCs/>
          <w:i w:val="false"/>
          <w:iCs w:val="false"/>
        </w:rPr>
        <w:t xml:space="preserve">judicial</w:t>
      </w:r>
      <w:r>
        <w:rPr>
          <w:rFonts w:ascii="Times New Roman" w:cs="Times New Roman" w:eastAsia="Times New Roman" w:hAnsi="Times New Roman"/>
          <w:b w:val="false"/>
          <w:bCs w:val="false"/>
          <w:i w:val="false"/>
          <w:iCs w:val="false"/>
        </w:rPr>
        <w:t xml:space="preserve"> contra o Município de Ilhabela; </w:t>
      </w:r>
      <w:r>
        <w:rPr>
          <w:rFonts w:ascii="Times New Roman" w:cs="Times New Roman" w:eastAsia="Times New Roman" w:hAnsi="Times New Roman"/>
          <w:b/>
          <w:bCs/>
          <w:i w:val="false"/>
          <w:iCs w:val="false"/>
        </w:rPr>
        <w:t xml:space="preserve">provido em favor dos credores</w:t>
      </w:r>
      <w:r>
        <w:rPr>
          <w:rFonts w:ascii="Times New Roman" w:cs="Times New Roman" w:eastAsia="Times New Roman" w:hAnsi="Times New Roman"/>
          <w:b w:val="false"/>
          <w:bCs w:val="false"/>
          <w:i w:val="false"/>
          <w:iCs w:val="false"/>
        </w:rPr>
        <w:t xml:space="preserve">: "a decisão homologatória dos cálculos, indicando o valor a ser executado, se sujeita à impugnação por Agravo de Instrumento, sob pena de preclusão"; "nítida ofensa à preclusão temporal". Transcreve o </w:t>
      </w:r>
      <w:r>
        <w:rPr>
          <w:rFonts w:ascii="Times New Roman" w:cs="Times New Roman" w:eastAsia="Times New Roman" w:hAnsi="Times New Roman"/>
          <w:b/>
          <w:bCs/>
          <w:i w:val="false"/>
          <w:iCs w:val="false"/>
        </w:rPr>
        <w:t xml:space="preserve">AgInt no REsp 1.455.741/DF</w:t>
      </w:r>
      <w:r>
        <w:rPr>
          <w:rFonts w:ascii="Times New Roman" w:cs="Times New Roman" w:eastAsia="Times New Roman" w:hAnsi="Times New Roman"/>
          <w:b w:val="false"/>
          <w:bCs w:val="false"/>
          <w:i w:val="false"/>
          <w:iCs w:val="false"/>
        </w:rPr>
        <w:t xml:space="preserve"> (4ª T., Rel. Min. Raul Araújo, DJe 15/06/2020): "A decisão que delimita os cálculos e determina o envio dos autos à contadoria possui natureza jurídica de decisão interlocutória e, por conseguinte, sujeita-se a agravo de instrumento, sob pena de preclusão", e o AgRg no AREsp 278.388/RS (Villas Bôas Cueva, DJe 04/08/2015): "o erro autorizador da modificação do julgado a qualquer tempo é tão somente aquele de natureza gráfica ou aritmética, perceptível à primeira vista, e não o referente à eleição de determinado critério de cálculo".</w:t>
      </w:r>
    </w:p>
    <w:p>
      <w:pPr>
        <w:spacing w:after="120" w:line="360"/>
        <w:jc w:val="both"/>
      </w:pPr>
      <w:r>
        <w:rPr>
          <w:rFonts w:ascii="Times New Roman" w:cs="Times New Roman" w:eastAsia="Times New Roman" w:hAnsi="Times New Roman"/>
          <w:b/>
          <w:bCs/>
          <w:i w:val="false"/>
          <w:iCs w:val="false"/>
        </w:rPr>
        <w:t xml:space="preserve">Corte nos dois sentidos.</w:t>
      </w:r>
      <w:r>
        <w:rPr>
          <w:rFonts w:ascii="Times New Roman" w:cs="Times New Roman" w:eastAsia="Times New Roman" w:hAnsi="Times New Roman"/>
          <w:b w:val="false"/>
          <w:bCs w:val="false"/>
          <w:i w:val="false"/>
          <w:iCs w:val="false"/>
        </w:rPr>
        <w:t xml:space="preserve"> A favor: a decisão de fls. 164 (remessa ao contador), a de fls. 169 (vista da conta) e a homologação de fls. 203 são exatamente "decisões que delimitam os cálculos"; o executado não as agravou; preclusão contra ele desde 1995. Contra: fls. 3066 também "delimitou os cálculos" e os exequentes não a agravaram. Resposta: (a) fls. 3066 não é decisão de delimitação autônoma: é item acessório de decisão que </w:t>
      </w:r>
      <w:r>
        <w:rPr>
          <w:rFonts w:ascii="Times New Roman" w:cs="Times New Roman" w:eastAsia="Times New Roman" w:hAnsi="Times New Roman"/>
          <w:b/>
          <w:bCs/>
          <w:i w:val="false"/>
          <w:iCs w:val="false"/>
        </w:rPr>
        <w:t xml:space="preserve">rejeitou</w:t>
      </w:r>
      <w:r>
        <w:rPr>
          <w:rFonts w:ascii="Times New Roman" w:cs="Times New Roman" w:eastAsia="Times New Roman" w:hAnsi="Times New Roman"/>
          <w:b w:val="false"/>
          <w:bCs w:val="false"/>
          <w:i w:val="false"/>
          <w:iCs w:val="false"/>
        </w:rPr>
        <w:t xml:space="preserve"> embargos de declaração sobre matéria que o próprio juiz declarou estranha ao incidente (A2), e a decisão de 17/07/2025 (fls. 3082/3084) mostra que o juízo a tratou como comando de cumprimento; (b) entre duas "delimitações", prevalece a homologada e certificada em 1995, porque a de 2025 nasceu sem contraditório (arts. 9º e 10); (c) o gravame concreto só se consumou em fls. 3435/3437, quando o juízo qualificou a conduta dos exequentes como "anuência" e recusou conhecer da defesa da base homologada.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apresentar a tabela; sustentar que a única decisão que delimitou cálculos com contraditório e homologação é a de 1995; enfrentar de frente o AgInt no REsp 1.455.741/DF, mostrando que ele protege a homologação de 1995 tanto quanto ameaça o silêncio de 2025, e que o desempate se faz pela invalidade de fls. 3066 (A2).</w:t>
      </w:r>
    </w:p>
    <w:p>
      <w:pPr>
        <w:pStyle w:val="Heading1"/>
        <w:keepNext/>
      </w:pPr>
      <w:r>
        <w:rPr>
          <w:rFonts w:ascii="Times New Roman" w:cs="Times New Roman" w:eastAsia="Times New Roman" w:hAnsi="Times New Roman"/>
        </w:rPr>
        <w:t xml:space="preserve">BLOCO B — HONORÁRIOS: 10% OU 20%?</w:t>
      </w:r>
    </w:p>
    <w:p>
      <w:pPr>
        <w:pStyle w:val="Heading2"/>
        <w:keepNext/>
      </w:pPr>
      <w:r>
        <w:rPr>
          <w:rFonts w:ascii="Times New Roman" w:cs="Times New Roman" w:eastAsia="Times New Roman" w:hAnsi="Times New Roman"/>
        </w:rPr>
        <w:t xml:space="preserve">B1. fls. 52 e-SAJ / 23 física</w:t>
      </w:r>
    </w:p>
    <w:p>
      <w:pPr>
        <w:spacing w:after="120" w:line="360"/>
        <w:jc w:val="both"/>
      </w:pPr>
      <w:r>
        <w:rPr>
          <w:rFonts w:ascii="Times New Roman" w:cs="Times New Roman" w:eastAsia="Times New Roman" w:hAnsi="Times New Roman"/>
          <w:b w:val="false"/>
          <w:bCs w:val="false"/>
          <w:i w:val="false"/>
          <w:iCs w:val="false"/>
        </w:rPr>
        <w:t xml:space="preserve">🟨 Ampliação a 800 dpi: o manuscrito é um algarismo com traço vertical grosso e gancho à esquerda, seguido de "0", sobre linha de sublinhado que se funde com a base do traço. </w:t>
      </w:r>
      <w:r>
        <w:rPr>
          <w:rFonts w:ascii="Times New Roman" w:cs="Times New Roman" w:eastAsia="Times New Roman" w:hAnsi="Times New Roman"/>
          <w:b/>
          <w:bCs/>
          <w:i w:val="false"/>
          <w:iCs w:val="false"/>
        </w:rPr>
        <w:t xml:space="preserve">Não é possível afirmar se é "1" ou "2".</w:t>
      </w:r>
      <w:r>
        <w:rPr>
          <w:rFonts w:ascii="Times New Roman" w:cs="Times New Roman" w:eastAsia="Times New Roman" w:hAnsi="Times New Roman"/>
          <w:b w:val="false"/>
          <w:bCs w:val="false"/>
          <w:i w:val="false"/>
          <w:iCs w:val="false"/>
        </w:rPr>
        <w:t xml:space="preserve"> O texto datilografado é legível: "fixo os honorários advocatícios em __ % sobre o </w:t>
      </w:r>
      <w:r>
        <w:rPr>
          <w:rFonts w:ascii="Times New Roman" w:cs="Times New Roman" w:eastAsia="Times New Roman" w:hAnsi="Times New Roman"/>
          <w:b/>
          <w:bCs/>
          <w:i w:val="false"/>
          <w:iCs w:val="false"/>
        </w:rPr>
        <w:t xml:space="preserve">valor dado à causa</w:t>
      </w:r>
      <w:r>
        <w:rPr>
          <w:rFonts w:ascii="Times New Roman" w:cs="Times New Roman" w:eastAsia="Times New Roman" w:hAnsi="Times New Roman"/>
          <w:b w:val="false"/>
          <w:bCs w:val="false"/>
          <w:i w:val="false"/>
          <w:iCs w:val="false"/>
        </w:rPr>
        <w:t xml:space="preserve">". Documentos convergentes de 1987: cédula, cláusula 5, § único (fls. 39 e-SAJ / 12 física): "honorários advocatícios, desde já fixados em </w:t>
      </w:r>
      <w:r>
        <w:rPr>
          <w:rFonts w:ascii="Times New Roman" w:cs="Times New Roman" w:eastAsia="Times New Roman" w:hAnsi="Times New Roman"/>
          <w:b/>
          <w:bCs/>
          <w:i w:val="false"/>
          <w:iCs w:val="false"/>
        </w:rPr>
        <w:t xml:space="preserve">10% no montante do débito</w:t>
      </w:r>
      <w:r>
        <w:rPr>
          <w:rFonts w:ascii="Times New Roman" w:cs="Times New Roman" w:eastAsia="Times New Roman" w:hAnsi="Times New Roman"/>
          <w:b w:val="false"/>
          <w:bCs w:val="false"/>
          <w:i w:val="false"/>
          <w:iCs w:val="false"/>
        </w:rPr>
        <w:t xml:space="preserve">"; inicial (fls. 31 e-SAJ / 06 física): "honorários advocatícios calculados na base de </w:t>
      </w:r>
      <w:r>
        <w:rPr>
          <w:rFonts w:ascii="Times New Roman" w:cs="Times New Roman" w:eastAsia="Times New Roman" w:hAnsi="Times New Roman"/>
          <w:b/>
          <w:bCs/>
          <w:i w:val="false"/>
          <w:iCs w:val="false"/>
        </w:rPr>
        <w:t xml:space="preserve">10% (dez por cento) sobre o montante do débito</w:t>
      </w:r>
      <w:r>
        <w:rPr>
          <w:rFonts w:ascii="Times New Roman" w:cs="Times New Roman" w:eastAsia="Times New Roman" w:hAnsi="Times New Roman"/>
          <w:b w:val="false"/>
          <w:bCs w:val="false"/>
          <w:i w:val="false"/>
          <w:iCs w:val="false"/>
        </w:rPr>
        <w:t xml:space="preserve">, conforme cláusula contratual"; mandado (fls. 54 e-SAJ / 24 física): "arbitrados em </w:t>
      </w:r>
      <w:r>
        <w:rPr>
          <w:rFonts w:ascii="Times New Roman" w:cs="Times New Roman" w:eastAsia="Times New Roman" w:hAnsi="Times New Roman"/>
          <w:b/>
          <w:bCs/>
          <w:i w:val="false"/>
          <w:iCs w:val="false"/>
        </w:rPr>
        <w:t xml:space="preserve">10% (dez por cento) do valor atribuído à causa</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Leitura mais provável: 10%</w:t>
      </w:r>
      <w:r>
        <w:rPr>
          <w:rFonts w:ascii="Times New Roman" w:cs="Times New Roman" w:eastAsia="Times New Roman" w:hAnsi="Times New Roman"/>
          <w:b w:val="false"/>
          <w:bCs w:val="false"/>
          <w:i w:val="false"/>
          <w:iCs w:val="false"/>
        </w:rPr>
        <w:t xml:space="preserve">, sobre o valor da causa (Cz$ 2.340.293,44).</w:t>
      </w:r>
    </w:p>
    <w:p>
      <w:pPr>
        <w:spacing w:after="120" w:line="360"/>
        <w:jc w:val="both"/>
      </w:pPr>
      <w:r>
        <w:rPr>
          <w:rFonts w:ascii="Times New Roman" w:cs="Times New Roman" w:eastAsia="Times New Roman" w:hAnsi="Times New Roman"/>
          <w:b/>
          <w:bCs/>
          <w:i w:val="false"/>
          <w:iCs w:val="false"/>
        </w:rPr>
        <w:t xml:space="preserve">Achado novo da v3 (releitura em 600 dpi, 28/09/2026):</w:t>
      </w:r>
      <w:r>
        <w:rPr>
          <w:rFonts w:ascii="Times New Roman" w:cs="Times New Roman" w:eastAsia="Times New Roman" w:hAnsi="Times New Roman"/>
          <w:b w:val="false"/>
          <w:bCs w:val="false"/>
          <w:i w:val="false"/>
          <w:iCs w:val="false"/>
        </w:rPr>
        <w:t xml:space="preserve"> 🟩 o texto datilografado completo do despacho é: "CITE(M)-SE. </w:t>
      </w:r>
      <w:r>
        <w:rPr>
          <w:rFonts w:ascii="Times New Roman" w:cs="Times New Roman" w:eastAsia="Times New Roman" w:hAnsi="Times New Roman"/>
          <w:b/>
          <w:bCs/>
          <w:i w:val="false"/>
          <w:iCs w:val="false"/>
        </w:rPr>
        <w:t xml:space="preserve">Em caso de pagamento ou de não apresentação de embargos</w:t>
      </w:r>
      <w:r>
        <w:rPr>
          <w:rFonts w:ascii="Times New Roman" w:cs="Times New Roman" w:eastAsia="Times New Roman" w:hAnsi="Times New Roman"/>
          <w:b w:val="false"/>
          <w:bCs w:val="false"/>
          <w:i w:val="false"/>
          <w:iCs w:val="false"/>
        </w:rPr>
        <w:t xml:space="preserve">, fixo os honorários advocatícios em __ % sobre o valor dado à causa. Int. Ours., 03 de novembro de 1987." A fixação de fls. 52 era, portanto, </w:t>
      </w:r>
      <w:r>
        <w:rPr>
          <w:rFonts w:ascii="Times New Roman" w:cs="Times New Roman" w:eastAsia="Times New Roman" w:hAnsi="Times New Roman"/>
          <w:b/>
          <w:bCs/>
          <w:i w:val="false"/>
          <w:iCs w:val="false"/>
        </w:rPr>
        <w:t xml:space="preserve">condicional e provisória</w:t>
      </w:r>
      <w:r>
        <w:rPr>
          <w:rFonts w:ascii="Times New Roman" w:cs="Times New Roman" w:eastAsia="Times New Roman" w:hAnsi="Times New Roman"/>
          <w:b w:val="false"/>
          <w:bCs w:val="false"/>
          <w:i w:val="false"/>
          <w:iCs w:val="false"/>
        </w:rPr>
        <w:t xml:space="preserve">: valia só se o devedor pagasse ou não embargasse. O devedor embargou (Embargos 0015252-76.2006, apensados em 14/04/1988, fls. 69 e-SAJ / 36 física), e os embargos foram julgados em 03/05/1991. Com isso, a condição de fls. 52 não se implementou e a verba passou a ser a da sentença dos embargos. Isso neutraliza o argumento do executado de 20/08/2026 (fls. 3444/3445 e-SAJ: "10% sobre o valor da causa, conforme mandado de intimação de fls. 54"), porque o mandado apenas reproduz a fixação condicional. 🟨 O algarismo continua sem leitura segura ("1" ou "2"), porque a imagem de origem tem só 847 pixels de largura e o traço se funde com o sublinhado.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usar fls. 52 como prova de 20%.</w:t>
      </w:r>
      <w:r>
        <w:rPr>
          <w:rFonts w:ascii="Times New Roman" w:cs="Times New Roman" w:eastAsia="Times New Roman" w:hAnsi="Times New Roman"/>
          <w:b w:val="false"/>
          <w:bCs w:val="false"/>
          <w:i w:val="false"/>
          <w:iCs w:val="false"/>
        </w:rPr>
        <w:t xml:space="preserve"> A afirmação do agravo ("decisão judicial de 03/11/1987 (fls. 52), que expressamente arbitrou os honorários advocatícios em 20%") é 🟥 e deve ser retificada espontaneamente, para evitar o art. 80, II.</w:t>
      </w:r>
    </w:p>
    <w:p>
      <w:pPr>
        <w:pStyle w:val="Heading2"/>
        <w:keepNext/>
      </w:pPr>
      <w:r>
        <w:rPr>
          <w:rFonts w:ascii="Times New Roman" w:cs="Times New Roman" w:eastAsia="Times New Roman" w:hAnsi="Times New Roman"/>
        </w:rPr>
        <w:t xml:space="preserve">B2. Tabela cronológica: honorários, 20%, Embargos</w:t>
      </w:r>
    </w:p>
    <w:p>
      <w:pPr>
        <w:spacing w:after="120" w:line="360"/>
        <w:jc w:val="both"/>
      </w:pPr>
      <w:r>
        <w:rPr>
          <w:rFonts w:ascii="Times New Roman" w:cs="Times New Roman" w:eastAsia="Times New Roman" w:hAnsi="Times New Roman"/>
          <w:b w:val="false"/>
          <w:bCs w:val="false"/>
          <w:i w:val="false"/>
          <w:iCs w:val="false"/>
        </w:rPr>
        <w:t xml:space="preserve">🟩 (com lacunas 🟨 nas folhas não lidas)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2"/>
        <w:gridCol w:w="2516"/>
        <w:gridCol w:w="1920"/>
        <w:gridCol w:w="3973"/>
      </w:tblGrid>
      <w:tr>
        <w:trPr>
          <w:cantSplit/>
          <w:tblHeader/>
        </w:trPr>
        <w:tc>
          <w:tcPr>
            <w:tcW w:type="dxa" w:w="6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25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9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Quem</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 literal</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06/05/1987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 / 12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Único: (…) honorários advocatícios, desde já fixados em 10% no montante do débito"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10/10/1987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 / 06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(inicial)</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calculados na base de 10% (dez por cento) sobre o montante do débito, conforme cláusula contratual (…) Dá, à causa, o valor de cz$ 2.340.293,44"</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 / 23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Miguel Cucinelli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"fixo os honorários advocatícios em [ilegível] % sobre o valor dado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 24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do exequente, arbitrados em 10% (dez por cento) do valor atribuído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13/04/1988</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0015252</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"Entrados em 13/04/1988 com origem no Processo Principal" (extrato e-SAJ)</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32/47 dos embargos (🟨 não lidos)</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Segundo fls. 1483 e-SAJ (exequentes, 2024): "a condenação em verba honorária de sucumbência, no importe de 20% sobre o valor devido, foi arbitrada nos Embargos a Execução (fls. 32 a 47) dos autos em apenso, cujo trânsito em julgado ocorreu as fls. 85 (…) cuja sentença data de 03 de maio de 1991, onde foram rejeitados os embargos"</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 / 122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(1ª conta)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R$ 26.502,72"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02/03/1995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 / 132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(Assessoria Jurídica)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20,00% R$ 705.476,53"</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 134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(conta retificada)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R$ 1.156.481,45"</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 a conta de fls. 134/137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12/09/2007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2137/2139 (CP 600/602) / 148/150</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fixados nos Embargos à Execução no importe de 20% sobre o montante da execução (cópias autenticadas da sentença e acórdão anexa)"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10/07/2009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2402/2403 (CP 865/866)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(Tecnocon)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EMBARGOS 847.132,35 x 20,00% = R$ 169.426,47"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25/10/2019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 (CP 1348)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R$ 371.081,38"</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19/04/2024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1948 (CP 411)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 R$ 543.791,22"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02/05/2024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 e 1421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Executado</w:t>
            </w:r>
            <w:r>
              <w:rPr>
                <w:rFonts w:ascii="Times New Roman" w:cs="Times New Roman" w:eastAsia="Times New Roman" w:hAnsi="Times New Roman"/>
                <w:b w:val="false"/>
                <w:bCs w:val="false"/>
                <w:i w:val="false"/>
                <w:iCs w:val="false"/>
                <w:sz w:val="19"/>
                <w:szCs w:val="19"/>
              </w:rPr>
              <w:t xml:space="preserve"> (Zanoni)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 "verba honorária sucumbencial de 20% sobre o valor do débito, verba que foi deferida ao procurador do Banco cedente nos autos dos embargos (…) não sendo objeto do contrato de cessão de crédito, mesmo porque os honorários sucumbenciais pertencem ao advogado"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16/09/2024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Exequentes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"nem tampouco o pedido de desconsideração da verba honoraria arbitrada quando dos Embargos a Execução"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3043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Canezin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multa de 10% e o valor dos honorários sequer são objeto de impugnação pelo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07/10/2025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exceção de pré-executividade apresentada não veiculou alegação de indevida inclusão da verba sucumbencial no valor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20/08/2026</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3444/3445 (-2)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(Fittipaldi)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sucumbenciais devem ser considerados de 10% sobre o valor da causa, conforme mandado de intimação de fls. 54"</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Ocorrências no texto dos autos: "vinte por cento": 0; "1º TAC" e "Tribunal de Alçada": 0; "V. Acórdão": só em peças de 2023/2024 sobre o AI 2236655 (fls. 1757/1758) e a decisão de Chavantes de 27/08/2024; "841/87": fls. 1456. Impugnação de 1995 (fls. 174/175) fala em "V. Acórdão" não identificado (🟨: provavelmente o acórdão dos embargos).</w:t>
      </w:r>
    </w:p>
    <w:p>
      <w:pPr>
        <w:spacing w:after="120" w:line="360"/>
        <w:jc w:val="both"/>
      </w:pPr>
      <w:r>
        <w:rPr>
          <w:rFonts w:ascii="Times New Roman" w:cs="Times New Roman" w:eastAsia="Times New Roman" w:hAnsi="Times New Roman"/>
          <w:b/>
          <w:bCs/>
          <w:i w:val="false"/>
          <w:iCs w:val="false"/>
        </w:rPr>
        <w:t xml:space="preserve">Complemento da v2 (fls. 55 a 173 lidas integralmente):</w:t>
      </w:r>
      <w:r>
        <w:rPr>
          <w:rFonts w:ascii="Times New Roman" w:cs="Times New Roman" w:eastAsia="Times New Roman" w:hAnsi="Times New Roman"/>
          <w:b w:val="false"/>
          <w:bCs w:val="false"/>
          <w:i w:val="false"/>
          <w:iCs w:val="false"/>
        </w:rPr>
        <w:t xml:space="preserve"> entre fls. 55 e 173 e-SAJ </w:t>
      </w:r>
      <w:r>
        <w:rPr>
          <w:rFonts w:ascii="Times New Roman" w:cs="Times New Roman" w:eastAsia="Times New Roman" w:hAnsi="Times New Roman"/>
          <w:b/>
          <w:bCs/>
          <w:i w:val="false"/>
          <w:iCs w:val="false"/>
        </w:rPr>
        <w:t xml:space="preserve">não há</w:t>
      </w:r>
      <w:r>
        <w:rPr>
          <w:rFonts w:ascii="Times New Roman" w:cs="Times New Roman" w:eastAsia="Times New Roman" w:hAnsi="Times New Roman"/>
          <w:b w:val="false"/>
          <w:bCs w:val="false"/>
          <w:i w:val="false"/>
          <w:iCs w:val="false"/>
        </w:rPr>
        <w:t xml:space="preserve"> certidão, cópia ou menção à sentença dos Embargos (03/05/1991), a acórdão, a "Tribunal de Alçada" ou a "apelação". Os únicos "20%" são os da 1ª conta (fls. 165 / 122, "HONORÁRIOS 20% R$ 26.502,72", sem indicação da fonte). A única fixação de honorários nesse trecho é a de </w:t>
      </w:r>
      <w:r>
        <w:rPr>
          <w:rFonts w:ascii="Times New Roman" w:cs="Times New Roman" w:eastAsia="Times New Roman" w:hAnsi="Times New Roman"/>
          <w:b/>
          <w:bCs/>
          <w:i w:val="false"/>
          <w:iCs w:val="false"/>
        </w:rPr>
        <w:t xml:space="preserve">15%</w:t>
      </w:r>
      <w:r>
        <w:rPr>
          <w:rFonts w:ascii="Times New Roman" w:cs="Times New Roman" w:eastAsia="Times New Roman" w:hAnsi="Times New Roman"/>
          <w:b w:val="false"/>
          <w:bCs w:val="false"/>
          <w:i w:val="false"/>
          <w:iCs w:val="false"/>
        </w:rPr>
        <w:t xml:space="preserve"> na sentença da Consignação nº 20/89 (fls. 87 / 52, 05/09/1989, Juiz Cucinelli), em que Chavantes tentou pagar sob a "anistia constitucional" e foi julgada carecedora de ação por já estar em mora. Não há nenhuma petição do executado ou de seu advogado (Moyses Guglielmetti Netto) entre fls. 55 e 173; depois do despacho "Digam sobre o cálculo de fls. 122 a 125" (fls. 169 / 126, 08/02/1995), só o Banespa se manifestou.</w:t>
      </w:r>
    </w:p>
    <w:p>
      <w:pPr>
        <w:pStyle w:val="Heading2"/>
        <w:keepNext/>
      </w:pPr>
      <w:r>
        <w:rPr>
          <w:rFonts w:ascii="Times New Roman" w:cs="Times New Roman" w:eastAsia="Times New Roman" w:hAnsi="Times New Roman"/>
        </w:rPr>
        <w:t xml:space="preserve">B3. Existe decisão fixando 20%?</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 resolvido. Ver Bloco J1.</w:t>
      </w:r>
      <w:r>
        <w:rPr>
          <w:rFonts w:ascii="Times New Roman" w:cs="Times New Roman" w:eastAsia="Times New Roman" w:hAnsi="Times New Roman"/>
          <w:b w:val="false"/>
          <w:bCs w:val="false"/>
          <w:i w:val="false"/>
          <w:iCs w:val="false"/>
        </w:rPr>
        <w:t xml:space="preserve"> Sentença de 03/05/1991 (fls. 2184 e-SAJ / fls. 42 física): honorários de "20% (vinte por cento) sobre o montante da execução", com trânsito certificado em 10/11/1993 (fls. 2154 e-SAJ / fls. 158 física). Texto da v3, mantido para histórico: 🟨 </w:t>
      </w:r>
      <w:r>
        <w:rPr>
          <w:rFonts w:ascii="Times New Roman" w:cs="Times New Roman" w:eastAsia="Times New Roman" w:hAnsi="Times New Roman"/>
          <w:b/>
          <w:bCs/>
          <w:i w:val="false"/>
          <w:iCs w:val="false"/>
        </w:rPr>
        <w:t xml:space="preserve">Nos autos da execução, entre fls. 27 e 204 e-SAJ, não há cópia da sentença/acórdão dos embargos</w:t>
      </w:r>
      <w:r>
        <w:rPr>
          <w:rFonts w:ascii="Times New Roman" w:cs="Times New Roman" w:eastAsia="Times New Roman" w:hAnsi="Times New Roman"/>
          <w:b w:val="false"/>
          <w:bCs w:val="false"/>
          <w:i w:val="false"/>
          <w:iCs w:val="false"/>
        </w:rPr>
        <w:t xml:space="preserve"> (fls. 55 a 173 lidas integralmente; fls. 27 a 55 e 174 a 204 lidas nas folhas relevantes). Há, porém, três provas indiretas convergentes: (i) a admissão do próprio executado em fls. 1419/1421 ("condenado o embargante as verbas da sucumbência em 20% do valor do débito, que transitou em julgado"); (ii) a petição do Santander de 2007 anexando "cópias autenticadas da sentença e acórdão"; (iii) as duas contas da Contadoria de 1995 (antes e depois da impugnação) aplicando 20%. Os 20% são </w:t>
      </w:r>
      <w:r>
        <w:rPr>
          <w:rFonts w:ascii="Times New Roman" w:cs="Times New Roman" w:eastAsia="Times New Roman" w:hAnsi="Times New Roman"/>
          <w:b/>
          <w:bCs/>
          <w:i w:val="false"/>
          <w:iCs w:val="false"/>
        </w:rPr>
        <w:t xml:space="preserve">sucumbência dos embargos</w:t>
      </w:r>
      <w:r>
        <w:rPr>
          <w:rFonts w:ascii="Times New Roman" w:cs="Times New Roman" w:eastAsia="Times New Roman" w:hAnsi="Times New Roman"/>
          <w:b w:val="false"/>
          <w:bCs w:val="false"/>
          <w:i w:val="false"/>
          <w:iCs w:val="false"/>
        </w:rPr>
        <w:t xml:space="preserve"> (sentença de 03/05/1991), cumulativos ou substitutivos dos 10% do "cite-se"; isso precisa ser lido na sentença. A tese do executado agora (fls. 3444) ignora a sua própria confissão de 2024.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o dispositivo da sentença (fls. 2184 e-SAJ) e a certidão de trânsito (fls. 2154 e-SAJ), e juntar cópia dessas folhas (art. 435; são peças já existentes nos autos de origem). Transcrever também fls. 1419/1421 e-SAJ como confissão do executado.</w:t>
      </w:r>
    </w:p>
    <w:p>
      <w:pPr>
        <w:pStyle w:val="Heading2"/>
        <w:keepNext/>
      </w:pPr>
      <w:r>
        <w:rPr>
          <w:rFonts w:ascii="Times New Roman" w:cs="Times New Roman" w:eastAsia="Times New Roman" w:hAnsi="Times New Roman"/>
        </w:rPr>
        <w:t xml:space="preserve">B4. Base de cálculo</w:t>
      </w:r>
    </w:p>
    <w:p>
      <w:pPr>
        <w:spacing w:after="120" w:line="360"/>
        <w:jc w:val="both"/>
      </w:pPr>
      <w:r>
        <w:rPr>
          <w:rFonts w:ascii="Times New Roman" w:cs="Times New Roman" w:eastAsia="Times New Roman" w:hAnsi="Times New Roman"/>
          <w:b w:val="false"/>
          <w:bCs w:val="false"/>
          <w:i w:val="false"/>
          <w:iCs w:val="false"/>
        </w:rPr>
        <w:t xml:space="preserve">🟩 A conta homologada (fls. 180 / 134) calcula 20% sobre </w:t>
      </w:r>
      <w:r>
        <w:rPr>
          <w:rFonts w:ascii="Times New Roman" w:cs="Times New Roman" w:eastAsia="Times New Roman" w:hAnsi="Times New Roman"/>
          <w:b/>
          <w:bCs/>
          <w:i w:val="false"/>
          <w:iCs w:val="false"/>
        </w:rPr>
        <w:t xml:space="preserve">saldo + multa</w:t>
      </w:r>
      <w:r>
        <w:rPr>
          <w:rFonts w:ascii="Times New Roman" w:cs="Times New Roman" w:eastAsia="Times New Roman" w:hAnsi="Times New Roman"/>
          <w:b w:val="false"/>
          <w:bCs w:val="false"/>
          <w:i w:val="false"/>
          <w:iCs w:val="false"/>
        </w:rPr>
        <w:t xml:space="preserve"> (R$ 5.782.407,24 × 20% = R$ 1.156.481,45). Fls. 177 (Banespa) idem. O mandado fixa 10% sobre o valor da causa. </w:t>
      </w:r>
      <w:r>
        <w:rPr>
          <w:rFonts w:ascii="Times New Roman" w:cs="Times New Roman" w:eastAsia="Times New Roman" w:hAnsi="Times New Roman"/>
          <w:b/>
          <w:bCs/>
          <w:i w:val="false"/>
          <w:iCs w:val="false"/>
        </w:rPr>
        <w:t xml:space="preserve">Risco de redução:</w:t>
      </w:r>
      <w:r>
        <w:rPr>
          <w:rFonts w:ascii="Times New Roman" w:cs="Times New Roman" w:eastAsia="Times New Roman" w:hAnsi="Times New Roman"/>
          <w:b w:val="false"/>
          <w:bCs w:val="false"/>
          <w:i w:val="false"/>
          <w:iCs w:val="false"/>
        </w:rPr>
        <w:t xml:space="preserve"> baixo no agravo (a Câmara já disse, no AI 2236642, que não aprecia honorários originariamente); médio na origem, se o executado provar que a sentença de 1991 fixou 20% "sobre o valor dos embargos" ou base diversa. Não cabe redução de ofício de verba já homologada e preclusa (AgInt no REsp 2.127.021).</w:t>
      </w:r>
    </w:p>
    <w:p>
      <w:pPr>
        <w:pStyle w:val="Heading2"/>
        <w:keepNext/>
      </w:pPr>
      <w:r>
        <w:rPr>
          <w:rFonts w:ascii="Times New Roman" w:cs="Times New Roman" w:eastAsia="Times New Roman" w:hAnsi="Times New Roman"/>
        </w:rPr>
        <w:t xml:space="preserve">B5. Estratégia</w:t>
      </w:r>
    </w:p>
    <w:p>
      <w:pPr>
        <w:spacing w:after="120" w:line="360"/>
        <w:jc w:val="both"/>
      </w:pPr>
      <w:r>
        <w:rPr>
          <w:rFonts w:ascii="Times New Roman" w:cs="Times New Roman" w:eastAsia="Times New Roman" w:hAnsi="Times New Roman"/>
          <w:b w:val="false"/>
          <w:bCs w:val="false"/>
          <w:i w:val="false"/>
          <w:iCs w:val="false"/>
        </w:rPr>
        <w:t xml:space="preserve">Recomendação: </w:t>
      </w:r>
      <w:r>
        <w:rPr>
          <w:rFonts w:ascii="Times New Roman" w:cs="Times New Roman" w:eastAsia="Times New Roman" w:hAnsi="Times New Roman"/>
          <w:b/>
          <w:bCs/>
          <w:i w:val="false"/>
          <w:iCs w:val="false"/>
        </w:rPr>
        <w:t xml:space="preserve">(i) defender 20% pela preclusão da conta homologada e pela sentença dos embargos</w:t>
      </w:r>
      <w:r>
        <w:rPr>
          <w:rFonts w:ascii="Times New Roman" w:cs="Times New Roman" w:eastAsia="Times New Roman" w:hAnsi="Times New Roman"/>
          <w:b w:val="false"/>
          <w:bCs w:val="false"/>
          <w:i w:val="false"/>
          <w:iCs w:val="false"/>
        </w:rPr>
        <w:t xml:space="preserve">, com juntada das peças, e </w:t>
      </w:r>
      <w:r>
        <w:rPr>
          <w:rFonts w:ascii="Times New Roman" w:cs="Times New Roman" w:eastAsia="Times New Roman" w:hAnsi="Times New Roman"/>
          <w:b/>
          <w:bCs/>
          <w:i w:val="false"/>
          <w:iCs w:val="false"/>
        </w:rPr>
        <w:t xml:space="preserve">(ii) pedir subsidiariamente</w:t>
      </w:r>
      <w:r>
        <w:rPr>
          <w:rFonts w:ascii="Times New Roman" w:cs="Times New Roman" w:eastAsia="Times New Roman" w:hAnsi="Times New Roman"/>
          <w:b w:val="false"/>
          <w:bCs w:val="false"/>
          <w:i w:val="false"/>
          <w:iCs w:val="false"/>
        </w:rPr>
        <w:t xml:space="preserve"> a manutenção dos 10% contratuais "sobre o montante do débito" (cláusula 5, § único; inicial), </w:t>
      </w:r>
      <w:r>
        <w:rPr>
          <w:rFonts w:ascii="Times New Roman" w:cs="Times New Roman" w:eastAsia="Times New Roman" w:hAnsi="Times New Roman"/>
          <w:b/>
          <w:bCs/>
          <w:i w:val="false"/>
          <w:iCs w:val="false"/>
        </w:rPr>
        <w:t xml:space="preserve">nunca</w:t>
      </w:r>
      <w:r>
        <w:rPr>
          <w:rFonts w:ascii="Times New Roman" w:cs="Times New Roman" w:eastAsia="Times New Roman" w:hAnsi="Times New Roman"/>
          <w:b w:val="false"/>
          <w:bCs w:val="false"/>
          <w:i w:val="false"/>
          <w:iCs w:val="false"/>
        </w:rPr>
        <w:t xml:space="preserve"> "10% sobre o valor da causa" (que reduziria a verba a poucas dezenas de milhares de reais). Silenciar (iii) é pior: o executado já colocou o tema na origem (fls. 3444) e a Relatora lê os autos.</w:t>
      </w:r>
    </w:p>
    <w:p>
      <w:pPr>
        <w:spacing w:after="120" w:line="360"/>
        <w:jc w:val="both"/>
      </w:pP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com a sentença localizada, a retificação sobre fls. 52 fica simples e sem custo: "a verba de 20% decorre da sentença dos embargos (fls. 2184 e-SAJ), transitada em julgado (fls. 2154 e-SAJ); o despacho de fls. 52 fixava honorários apenas para o caso de pagamento ou de não oposição de embargos". Texto da v3: Sobre fls. 52: o agravo afirmou 20% "expressamente". A folha é ilegível e três documentos coevos dizem 10%. Há risco real de arguição do art. 80, II. Retificar nos memoriais ("por cautela, registra-se que o algarismo de fls. 52 é de difícil leitura; a fonte dos 20% é a sentença dos embargos, como o próprio executado admitiu a fls. 1419/1421").</w:t>
      </w:r>
    </w:p>
    <w:p>
      <w:pPr>
        <w:pStyle w:val="Heading2"/>
        <w:keepNext/>
      </w:pPr>
      <w:r>
        <w:rPr>
          <w:rFonts w:ascii="Times New Roman" w:cs="Times New Roman" w:eastAsia="Times New Roman" w:hAnsi="Times New Roman"/>
        </w:rPr>
        <w:t xml:space="preserve">B6. Habilitação de fls. 138/139 física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fls. 185/186 e-SAJ / fls. 138/139 física foram lidas na transcrição do ChatGPT. É a petição de habilitação de crédito do Banco Bradesco S/A, credor em outras execuções com penhora sobre o mesmo imóvel, "ressalvando-se a preferência" do exequente. Nada trata de honorários. Texto anterior: fls. 202 e-SAJ / 151 física (Banespa, 08/11/1995): "informar que nada tem a opor com relação ao pedido de habilitação de credito feito às fls. 138/139 destes autos". A decisão de fls. 203 identifica: "defiro a habilitação pleiteada a fls. 138/139, pelo Banco Bradesco S/A, aguardando-se futura arrematação do bem penhorado". A decisão de fls. 3038 localiza a petição em </w:t>
      </w:r>
      <w:r>
        <w:rPr>
          <w:rFonts w:ascii="Times New Roman" w:cs="Times New Roman" w:eastAsia="Times New Roman" w:hAnsi="Times New Roman"/>
          <w:b/>
          <w:bCs/>
          <w:i w:val="false"/>
          <w:iCs w:val="false"/>
        </w:rPr>
        <w:t xml:space="preserve">fls. 185/186 e-SAJ</w:t>
      </w:r>
      <w:r>
        <w:rPr>
          <w:rFonts w:ascii="Times New Roman" w:cs="Times New Roman" w:eastAsia="Times New Roman" w:hAnsi="Times New Roman"/>
          <w:b w:val="false"/>
          <w:bCs w:val="false"/>
          <w:i w:val="false"/>
          <w:iCs w:val="false"/>
        </w:rPr>
        <w:t xml:space="preserve">. Não li a petição (fora dos arquivos abertos). Relação com honorários: nenhuma. Relevância: o Bradesco é credor habilitado (crédito de R$ 995.037,18 conforme fls. 3282) e concorrerá no produto da arrematação.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C — ENCARGOS DA CÉDULA INDUSTRIAL</w:t>
      </w:r>
    </w:p>
    <w:p>
      <w:pPr>
        <w:pStyle w:val="Heading2"/>
        <w:keepNext/>
      </w:pPr>
      <w:r>
        <w:rPr>
          <w:rFonts w:ascii="Times New Roman" w:cs="Times New Roman" w:eastAsia="Times New Roman" w:hAnsi="Times New Roman"/>
        </w:rPr>
        <w:t xml:space="preserve">C1. Mora de 1% ao mês x 1% ao ano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v4: risco reduzido pela coisa julgada (Bloco J3 e J5).</w:t>
      </w:r>
      <w:r>
        <w:rPr>
          <w:rFonts w:ascii="Times New Roman" w:cs="Times New Roman" w:eastAsia="Times New Roman" w:hAnsi="Times New Roman"/>
          <w:b w:val="false"/>
          <w:bCs w:val="false"/>
          <w:i w:val="false"/>
          <w:iCs w:val="false"/>
        </w:rPr>
        <w:t xml:space="preserve"> O acórdão de 1993 transcreveu a cláusula "acrescida da mora de 1% ao mês" e negou provimento sem ressalva. A limitação do DL 413/69, art. 5º, parágrafo único, nunca foi arguida nos embargos e está coberta pela eficácia preclusiva da coisa julgada (CPC, art. 508; CPC/73, art. 474). O ponto continua sensível na perícia, mas não é mais "ponto fraco" no agravo. Texto da v3: 🟥 </w:t>
      </w:r>
      <w:r>
        <w:rPr>
          <w:rFonts w:ascii="Times New Roman" w:cs="Times New Roman" w:eastAsia="Times New Roman" w:hAnsi="Times New Roman"/>
          <w:b/>
          <w:bCs/>
          <w:i w:val="false"/>
          <w:iCs w:val="false"/>
        </w:rPr>
        <w:t xml:space="preserve">Ponto fraco real.</w:t>
      </w:r>
      <w:r>
        <w:rPr>
          <w:rFonts w:ascii="Times New Roman" w:cs="Times New Roman" w:eastAsia="Times New Roman" w:hAnsi="Times New Roman"/>
          <w:b w:val="false"/>
          <w:bCs w:val="false"/>
          <w:i w:val="false"/>
          <w:iCs w:val="false"/>
        </w:rPr>
        <w:t xml:space="preserve"> Cláusula 5 (fls. 39 / 12): "acrescida da mora de 1% ao mês e da multa de 10% sobre o débito em aberto". DL 413/69, art. 5º, parágrafo único: "Em caso de mora, a taxa de juros constante da cédula será elevável de 1% (um por cento) ao ano." A conta de 1995 aplicou "JUROS MORA 1% a.m." capitalizado mensalmente. Impacto aproximado (recomposição das oito primeiras linhas, feita ontem): retirar o fator 1,01 mensal e substituí-lo por 1,000833 ao longo de 99 meses reduz o saldo de 08/95 em ordem de grandeza de </w:t>
      </w:r>
      <w:r>
        <w:rPr>
          <w:rFonts w:ascii="Times New Roman" w:cs="Times New Roman" w:eastAsia="Times New Roman" w:hAnsi="Times New Roman"/>
          <w:b/>
          <w:bCs/>
          <w:i w:val="false"/>
          <w:iCs w:val="false"/>
        </w:rPr>
        <w:t xml:space="preserve">1,01^99 / 1,000833^99 ≈ 2,68 / 1,086 ≈ 2,5 vezes</w:t>
      </w:r>
      <w:r>
        <w:rPr>
          <w:rFonts w:ascii="Times New Roman" w:cs="Times New Roman" w:eastAsia="Times New Roman" w:hAnsi="Times New Roman"/>
          <w:b w:val="false"/>
          <w:bCs w:val="false"/>
          <w:i w:val="false"/>
          <w:iCs w:val="false"/>
        </w:rPr>
        <w:t xml:space="preserve"> (estimativa; a exata exige refazer a planilha). O executado pode dizer que ~60% do saldo de 1995 é mora ilegal capitalizada. Defesa: preclusão (critério, não erro material; AgInt no REsp 2.127.021) e o fato de o Banespa ter pedido, e o juízo homologado, exatamente esses encargos (fls. 174/175 → 203), sem que o devedor, citado (fls. 54/55), impugnasse.</w:t>
      </w:r>
    </w:p>
    <w:p>
      <w:pPr>
        <w:pStyle w:val="Heading2"/>
        <w:keepNext/>
      </w:pPr>
      <w:r>
        <w:rPr>
          <w:rFonts w:ascii="Times New Roman" w:cs="Times New Roman" w:eastAsia="Times New Roman" w:hAnsi="Times New Roman"/>
        </w:rPr>
        <w:t xml:space="preserve">C2. Capitalização mensal</w:t>
      </w:r>
    </w:p>
    <w:p>
      <w:pPr>
        <w:spacing w:after="120" w:line="360"/>
        <w:jc w:val="both"/>
      </w:pPr>
      <w:r>
        <w:rPr>
          <w:rFonts w:ascii="Times New Roman" w:cs="Times New Roman" w:eastAsia="Times New Roman" w:hAnsi="Times New Roman"/>
          <w:b w:val="false"/>
          <w:bCs w:val="false"/>
          <w:i w:val="false"/>
          <w:iCs w:val="false"/>
        </w:rPr>
        <w:t xml:space="preserve">🟩 A conta capitaliza </w:t>
      </w:r>
      <w:r>
        <w:rPr>
          <w:rFonts w:ascii="Times New Roman" w:cs="Times New Roman" w:eastAsia="Times New Roman" w:hAnsi="Times New Roman"/>
          <w:b/>
          <w:bCs/>
          <w:i w:val="false"/>
          <w:iCs w:val="false"/>
        </w:rPr>
        <w:t xml:space="preserve">mensalmente</w:t>
      </w:r>
      <w:r>
        <w:rPr>
          <w:rFonts w:ascii="Times New Roman" w:cs="Times New Roman" w:eastAsia="Times New Roman" w:hAnsi="Times New Roman"/>
          <w:b w:val="false"/>
          <w:bCs w:val="false"/>
          <w:i w:val="false"/>
          <w:iCs w:val="false"/>
        </w:rPr>
        <w:t xml:space="preserve"> (o saldo de cada mês é base do seguinte: 05/87 Cz$ 1.210.000,00 → 06/87 1.510.976,97 → 07/87 1.647.489,69 → 08/87 1.854.034,86; recomposição fecha com 57,18% a.a. nominal /12 + 1% a.m. + C.M.). O Banespa pedira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(fls. 175 / 130: "Os juros devem ser capitalizados semestralmente por se tratar de Cédula de Crédito Industrial"). A cédula, cláusula 3, diz que os encargos são "exigíveis (…) ao final de cada mês e no vencimento", e o DL 413/69 admite capitalização em "outras datas convencionadas no título" (art. 5º) e "facultará ao financiador a capitalização dos juros" na inadimplência (art. 11, § 2º). Súmula 93/STJ e REsp 31.025/RS (4ª T., Sálvio de Figueiredo, 17/02/1993: "Lícito se mostra pactuar, em cédula de crédito industrial, capitalização mensal de juros") sustentam a periodicidade mensal pactuada. O executado dirá que "exigível" não é "capitalizável"; resposta: art. 11, § 2º, DL 413 + preclusão.</w:t>
      </w:r>
    </w:p>
    <w:p>
      <w:pPr>
        <w:pStyle w:val="Heading2"/>
        <w:keepNext/>
      </w:pPr>
      <w:r>
        <w:rPr>
          <w:rFonts w:ascii="Times New Roman" w:cs="Times New Roman" w:eastAsia="Times New Roman" w:hAnsi="Times New Roman"/>
        </w:rPr>
        <w:t xml:space="preserve">C3. "Maior taxa vigente no início de cada mês"</w:t>
      </w:r>
    </w:p>
    <w:p>
      <w:pPr>
        <w:spacing w:after="120" w:line="360"/>
        <w:jc w:val="both"/>
      </w:pPr>
      <w:r>
        <w:rPr>
          <w:rFonts w:ascii="Times New Roman" w:cs="Times New Roman" w:eastAsia="Times New Roman" w:hAnsi="Times New Roman"/>
          <w:b w:val="false"/>
          <w:bCs w:val="false"/>
          <w:i w:val="false"/>
          <w:iCs w:val="false"/>
        </w:rPr>
        <w:t xml:space="preserve">🟨 Cláusula 5: "maior taxa de encargos pós-fixados vigorante no início de cada mês". É cláusula de taxa flutuante referida às LBC ("rendimento nominal das Letras do Banco Central – taxa fiscal, acrescida da taxa efetiva de juros de 45,00% ao ano", campo 11). A Súmula 176/STJ (nulidade da taxa divulgada pela ANBID/CETIP) é analogia possível, mas a conta de 1995 usou 57,18% a.a. fixos (não a "maior taxa"), o que enfraquece a analogia. De todo modo, é critério </w:t>
      </w:r>
      <w:r>
        <w:rPr>
          <w:rFonts w:ascii="Times New Roman" w:cs="Times New Roman" w:eastAsia="Times New Roman" w:hAnsi="Times New Roman"/>
          <w:b/>
          <w:bCs/>
          <w:i w:val="false"/>
          <w:iCs w:val="false"/>
        </w:rPr>
        <w:t xml:space="preserve">coberto pela preclusão de 1995</w:t>
      </w:r>
      <w:r>
        <w:rPr>
          <w:rFonts w:ascii="Times New Roman" w:cs="Times New Roman" w:eastAsia="Times New Roman" w:hAnsi="Times New Roman"/>
          <w:b w:val="false"/>
          <w:bCs w:val="false"/>
          <w:i w:val="false"/>
          <w:iCs w:val="false"/>
        </w:rPr>
        <w:t xml:space="preserve">. Não trazer o tema; só responder se a contraminuta o suscitar.</w:t>
      </w:r>
    </w:p>
    <w:p>
      <w:pPr>
        <w:pStyle w:val="Heading2"/>
        <w:keepNext/>
      </w:pPr>
      <w:r>
        <w:rPr>
          <w:rFonts w:ascii="Times New Roman" w:cs="Times New Roman" w:eastAsia="Times New Roman" w:hAnsi="Times New Roman"/>
        </w:rPr>
        <w:t xml:space="preserve">C4. Cessão e encargos</w:t>
      </w:r>
    </w:p>
    <w:p>
      <w:pPr>
        <w:spacing w:after="120" w:line="360"/>
        <w:jc w:val="both"/>
      </w:pPr>
      <w:r>
        <w:rPr>
          <w:rFonts w:ascii="Times New Roman" w:cs="Times New Roman" w:eastAsia="Times New Roman" w:hAnsi="Times New Roman"/>
          <w:b w:val="false"/>
          <w:bCs w:val="false"/>
          <w:i w:val="false"/>
          <w:iCs w:val="false"/>
        </w:rPr>
        <w:t xml:space="preserve">🟩 REsp 1.984.424/SP (3ª T., Villas Bôas Cueva, 23/08/2022, trânsito 20/09/2022) trata de </w:t>
      </w:r>
      <w:r>
        <w:rPr>
          <w:rFonts w:ascii="Times New Roman" w:cs="Times New Roman" w:eastAsia="Times New Roman" w:hAnsi="Times New Roman"/>
          <w:b/>
          <w:bCs/>
          <w:i w:val="false"/>
          <w:iCs w:val="false"/>
        </w:rPr>
        <w:t xml:space="preserve">Cédula de Crédito Bancário</w:t>
      </w:r>
      <w:r>
        <w:rPr>
          <w:rFonts w:ascii="Times New Roman" w:cs="Times New Roman" w:eastAsia="Times New Roman" w:hAnsi="Times New Roman"/>
          <w:b w:val="false"/>
          <w:bCs w:val="false"/>
          <w:i w:val="false"/>
          <w:iCs w:val="false"/>
        </w:rPr>
        <w:t xml:space="preserve"> (art. 29, § 1º, Lei 10.931/04), mas a ementa funda-se também no </w:t>
      </w:r>
      <w:r>
        <w:rPr>
          <w:rFonts w:ascii="Times New Roman" w:cs="Times New Roman" w:eastAsia="Times New Roman" w:hAnsi="Times New Roman"/>
          <w:b/>
          <w:bCs/>
          <w:i w:val="false"/>
          <w:iCs w:val="false"/>
        </w:rPr>
        <w:t xml:space="preserve">art. 893 do CC</w:t>
      </w:r>
      <w:r>
        <w:rPr>
          <w:rFonts w:ascii="Times New Roman" w:cs="Times New Roman" w:eastAsia="Times New Roman" w:hAnsi="Times New Roman"/>
          <w:b w:val="false"/>
          <w:bCs w:val="false"/>
          <w:i w:val="false"/>
          <w:iCs w:val="false"/>
        </w:rPr>
        <w:t xml:space="preserve"> ("a transferência do título de crédito implica a de todos os direitos que lhe são inerentes") e no </w:t>
      </w:r>
      <w:r>
        <w:rPr>
          <w:rFonts w:ascii="Times New Roman" w:cs="Times New Roman" w:eastAsia="Times New Roman" w:hAnsi="Times New Roman"/>
          <w:b/>
          <w:bCs/>
          <w:i w:val="false"/>
          <w:iCs w:val="false"/>
        </w:rPr>
        <w:t xml:space="preserve">Tema 361/STF</w:t>
      </w:r>
      <w:r>
        <w:rPr>
          <w:rFonts w:ascii="Times New Roman" w:cs="Times New Roman" w:eastAsia="Times New Roman" w:hAnsi="Times New Roman"/>
          <w:b w:val="false"/>
          <w:bCs w:val="false"/>
          <w:i w:val="false"/>
          <w:iCs w:val="false"/>
        </w:rPr>
        <w:t xml:space="preserve"> (RE 631.537: cessão não altera a natureza do crédito), fundamentos que valem para a cédula industrial (título de crédito, art. 10 DL 413; direito cambial, art. 52). Somam-se arts. 286 e 287 CC (acessórios) e art. 778, § 1º, III, CPC (cessionário promove a execução).</w:t>
      </w:r>
    </w:p>
    <w:p>
      <w:pPr>
        <w:spacing w:after="120" w:line="360"/>
        <w:jc w:val="both"/>
      </w:pPr>
      <w:r>
        <w:rPr>
          <w:rFonts w:ascii="Times New Roman" w:cs="Times New Roman" w:eastAsia="Times New Roman" w:hAnsi="Times New Roman"/>
          <w:b w:val="false"/>
          <w:bCs w:val="false"/>
          <w:i w:val="false"/>
          <w:iCs w:val="false"/>
        </w:rPr>
        <w:t xml:space="preserve">Contrário: 🟥 </w:t>
      </w:r>
      <w:r>
        <w:rPr>
          <w:rFonts w:ascii="Times New Roman" w:cs="Times New Roman" w:eastAsia="Times New Roman" w:hAnsi="Times New Roman"/>
          <w:b/>
          <w:bCs/>
          <w:i w:val="false"/>
          <w:iCs w:val="false"/>
        </w:rPr>
        <w:t xml:space="preserve">o arquivo "Registro 2021-0000902160 NAO PODE COBRAR JUROS…" diz o oposto do título.</w:t>
      </w:r>
      <w:r>
        <w:rPr>
          <w:rFonts w:ascii="Times New Roman" w:cs="Times New Roman" w:eastAsia="Times New Roman" w:hAnsi="Times New Roman"/>
          <w:b w:val="false"/>
          <w:bCs w:val="false"/>
          <w:i w:val="false"/>
          <w:iCs w:val="false"/>
        </w:rPr>
        <w:t xml:space="preserve"> É o AI 2065526-45.2021.8.26.0000 (23ª CDP, j. 20/10/2021, </w:t>
      </w:r>
      <w:r>
        <w:rPr>
          <w:rFonts w:ascii="Times New Roman" w:cs="Times New Roman" w:eastAsia="Times New Roman" w:hAnsi="Times New Roman"/>
          <w:b/>
          <w:bCs/>
          <w:i w:val="false"/>
          <w:iCs w:val="false"/>
        </w:rPr>
        <w:t xml:space="preserve">por maioria</w:t>
      </w:r>
      <w:r>
        <w:rPr>
          <w:rFonts w:ascii="Times New Roman" w:cs="Times New Roman" w:eastAsia="Times New Roman" w:hAnsi="Times New Roman"/>
          <w:b w:val="false"/>
          <w:bCs w:val="false"/>
          <w:i w:val="false"/>
          <w:iCs w:val="false"/>
        </w:rPr>
        <w:t xml:space="preserve">, acórdão do Des. Marcos Gozzo): a maioria decidiu que o cessionário </w:t>
      </w:r>
      <w:r>
        <w:rPr>
          <w:rFonts w:ascii="Times New Roman" w:cs="Times New Roman" w:eastAsia="Times New Roman" w:hAnsi="Times New Roman"/>
          <w:b/>
          <w:bCs/>
          <w:i w:val="false"/>
          <w:iCs w:val="false"/>
        </w:rPr>
        <w:t xml:space="preserve">PODE</w:t>
      </w:r>
      <w:r>
        <w:rPr>
          <w:rFonts w:ascii="Times New Roman" w:cs="Times New Roman" w:eastAsia="Times New Roman" w:hAnsi="Times New Roman"/>
          <w:b w:val="false"/>
          <w:bCs w:val="false"/>
          <w:i w:val="false"/>
          <w:iCs w:val="false"/>
        </w:rPr>
        <w:t xml:space="preserve"> cobrar os encargos da cédula. A tese "não pode" está só no </w:t>
      </w:r>
      <w:r>
        <w:rPr>
          <w:rFonts w:ascii="Times New Roman" w:cs="Times New Roman" w:eastAsia="Times New Roman" w:hAnsi="Times New Roman"/>
          <w:b/>
          <w:bCs/>
          <w:i w:val="false"/>
          <w:iCs w:val="false"/>
        </w:rPr>
        <w:t xml:space="preserve">voto vencido</w:t>
      </w:r>
      <w:r>
        <w:rPr>
          <w:rFonts w:ascii="Times New Roman" w:cs="Times New Roman" w:eastAsia="Times New Roman" w:hAnsi="Times New Roman"/>
          <w:b w:val="false"/>
          <w:bCs w:val="false"/>
          <w:i w:val="false"/>
          <w:iCs w:val="false"/>
        </w:rPr>
        <w:t xml:space="preserve"> (Des. Virgílio de Oliveira Junior). Não citar como contrário; citar como favorável, com a ressalva de que é CCB e por maioria. Os precedentes citados na decisão de fls. 3042/3043 (13ª CDP, Ap. 1040981-64.2018, Rel. Francisco Giaquinto, 27/01/2021; 11ª CDP, AI 9006440-44.2009; 24ª CDP, EDcl 2140987-28.2018) dizem que o cessionário civil não cobra encargos bancários após a cessão — e o Des. Giaquinto integra a 13ª CDP. </w:t>
      </w:r>
      <w:r>
        <w:rPr>
          <w:rFonts w:ascii="Times New Roman" w:cs="Times New Roman" w:eastAsia="Times New Roman" w:hAnsi="Times New Roman"/>
          <w:b/>
          <w:bCs/>
          <w:i w:val="false"/>
          <w:iCs w:val="false"/>
        </w:rPr>
        <w:t xml:space="preserve">Risco alto se os memoriais insistirem em encargos pós-cessão.</w:t>
      </w:r>
      <w:r>
        <w:rPr>
          <w:rFonts w:ascii="Times New Roman" w:cs="Times New Roman" w:eastAsia="Times New Roman" w:hAnsi="Times New Roman"/>
          <w:b w:val="false"/>
          <w:bCs w:val="false"/>
          <w:i w:val="false"/>
          <w:iCs w:val="false"/>
        </w:rPr>
        <w:t xml:space="preserve"> Mas os exequentes não cobram encargos bancários pós-1995 (fls. 3043), de modo que o tema só importa para a fase 1987-1995, quando o credor era o Banespa.</w:t>
      </w:r>
    </w:p>
    <w:p>
      <w:pPr>
        <w:pStyle w:val="Heading2"/>
        <w:keepNext/>
      </w:pPr>
      <w:r>
        <w:rPr>
          <w:rFonts w:ascii="Times New Roman" w:cs="Times New Roman" w:eastAsia="Times New Roman" w:hAnsi="Times New Roman"/>
        </w:rPr>
        <w:t xml:space="preserve">C5. Proporcionalidade</w:t>
      </w:r>
    </w:p>
    <w:p>
      <w:pPr>
        <w:spacing w:after="120" w:line="360"/>
        <w:jc w:val="both"/>
      </w:pPr>
      <w:r>
        <w:rPr>
          <w:rFonts w:ascii="Times New Roman" w:cs="Times New Roman" w:eastAsia="Times New Roman" w:hAnsi="Times New Roman"/>
          <w:b w:val="false"/>
          <w:bCs w:val="false"/>
          <w:i w:val="false"/>
          <w:iCs w:val="false"/>
        </w:rPr>
        <w:t xml:space="preserve">🟨 Números literais nos autos: cessão por R$ 200.000,00 (31/03/2010, fls. 655/660 e-SAJ / 537/542 física); Santander 2007: R$ 859.100,93; Santander 2009: R$ 1.016.558,82; cessionários 2011: R$ 1.140.030,51; 2019: R$ 2.226.488,29; 19/04/2024: R$ 3.262.747,35; 04/06/2025: R$ 3.870.274,56; parecer Fred 25/03/2026: R$ 185.096.002,92; executado 08/2026: R$ 2.911.270,42; imóvel: R$ 10.310.000,00 (set/2021) → R$ 12.833.936,57 (nov/2025).</w:t>
      </w:r>
    </w:p>
    <w:p>
      <w:pPr>
        <w:spacing w:after="120" w:line="360"/>
        <w:jc w:val="both"/>
      </w:pPr>
      <w:r>
        <w:rPr>
          <w:rFonts w:ascii="Times New Roman" w:cs="Times New Roman" w:eastAsia="Times New Roman" w:hAnsi="Times New Roman"/>
          <w:b w:val="false"/>
          <w:bCs w:val="false"/>
          <w:i w:val="false"/>
          <w:iCs w:val="false"/>
        </w:rPr>
        <w:t xml:space="preserve">A Relatora, que no AI 2236642 chamou de "expressivo" o valor de fls. 3055 (R$ 4 milhões) para reduzir a multa, tenderá a ver R$ 185 milhões como desproporcional, ainda mais quando o Santander, em 2007, disse que "por mera liberalidade" abandonava a conta de 1995 e calculava R$ 859 mil. </w:t>
      </w:r>
      <w:r>
        <w:rPr>
          <w:rFonts w:ascii="Times New Roman" w:cs="Times New Roman" w:eastAsia="Times New Roman" w:hAnsi="Times New Roman"/>
          <w:b/>
          <w:bCs/>
          <w:i w:val="false"/>
          <w:iCs w:val="false"/>
        </w:rPr>
        <w:t xml:space="preserve">Pedido principal recomendado:</w:t>
      </w:r>
      <w:r>
        <w:rPr>
          <w:rFonts w:ascii="Times New Roman" w:cs="Times New Roman" w:eastAsia="Times New Roman" w:hAnsi="Times New Roman"/>
          <w:b w:val="false"/>
          <w:bCs w:val="false"/>
          <w:i w:val="false"/>
          <w:iCs w:val="false"/>
        </w:rPr>
        <w:t xml:space="preserve"> reconhecimento da base de 1995 com remessa à origem para liquidação (perícia) — não a homologação de R$ 185 milhões. </w:t>
      </w:r>
      <w:r>
        <w:rPr>
          <w:rFonts w:ascii="Times New Roman" w:cs="Times New Roman" w:eastAsia="Times New Roman" w:hAnsi="Times New Roman"/>
          <w:b/>
          <w:bCs/>
          <w:i w:val="false"/>
          <w:iCs w:val="false"/>
        </w:rPr>
        <w:t xml:space="preserve">Subsidiário:</w:t>
      </w:r>
      <w:r>
        <w:rPr>
          <w:rFonts w:ascii="Times New Roman" w:cs="Times New Roman" w:eastAsia="Times New Roman" w:hAnsi="Times New Roman"/>
          <w:b w:val="false"/>
          <w:bCs w:val="false"/>
          <w:i w:val="false"/>
          <w:iCs w:val="false"/>
        </w:rPr>
        <w:t xml:space="preserve"> que a perícia parta do saldo de 1995 com juros simples e sem capitalização posterior. Como ordem de grandeza, a só correção do saldo de 1995 mais multa e honorários dá cerca de R$ 44 milhões (mar/2026), valor que já supera em muito o imóvel; o excedente do produto da arrematação nunca chegará aos credores. Diga isso à Câmara: a disputa real é se o produto do leilão (R$ 12,8 milhões) será integralmente dos credores ou se sobrará "troco" ao devedor.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D — AUDITORIA DAS CITAÇÕES DO AGRAVO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4"/>
        <w:gridCol w:w="893"/>
        <w:gridCol w:w="4124"/>
      </w:tblGrid>
      <w:tr>
        <w:trPr>
          <w:cantSplit/>
          <w:tblHeader/>
        </w:trPr>
        <w:tc>
          <w:tcPr>
            <w:tcW w:type="dxa" w:w="40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no agravo</w:t>
            </w:r>
          </w:p>
        </w:tc>
        <w:tc>
          <w:tcPr>
            <w:tcW w:type="dxa" w:w="8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412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 Og Fernandes, 2ª T.</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j. 16/06/2020, DJe 04/08/2020; ementa fiel; contexto: Fazenda Pública/RE 870.947, título judicial. Favorável por 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Marco Buzzi, 29/05/2024</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monocrática de </w:t>
            </w:r>
            <w:r>
              <w:rPr>
                <w:rFonts w:ascii="Times New Roman" w:cs="Times New Roman" w:eastAsia="Times New Roman" w:hAnsi="Times New Roman"/>
                <w:b/>
                <w:bCs/>
                <w:i w:val="false"/>
                <w:iCs w:val="false"/>
                <w:sz w:val="19"/>
                <w:szCs w:val="19"/>
              </w:rPr>
              <w:t xml:space="preserve">não conhecimento</w:t>
            </w:r>
            <w:r>
              <w:rPr>
                <w:rFonts w:ascii="Times New Roman" w:cs="Times New Roman" w:eastAsia="Times New Roman" w:hAnsi="Times New Roman"/>
                <w:b w:val="false"/>
                <w:bCs w:val="false"/>
                <w:i w:val="false"/>
                <w:iCs w:val="false"/>
                <w:sz w:val="19"/>
                <w:szCs w:val="19"/>
              </w:rPr>
              <w:t xml:space="preserve"> (Súmulas 5 e 7); AgInt desprovido em 23/09/2024; trânsito 17/10/2024. A frase sobre art. 114 CC é do </w:t>
            </w:r>
            <w:r>
              <w:rPr>
                <w:rFonts w:ascii="Times New Roman" w:cs="Times New Roman" w:eastAsia="Times New Roman" w:hAnsi="Times New Roman"/>
                <w:b/>
                <w:bCs/>
                <w:i w:val="false"/>
                <w:iCs w:val="false"/>
                <w:sz w:val="19"/>
                <w:szCs w:val="19"/>
              </w:rPr>
              <w:t xml:space="preserve">TJDFT</w:t>
            </w:r>
            <w:r>
              <w:rPr>
                <w:rFonts w:ascii="Times New Roman" w:cs="Times New Roman" w:eastAsia="Times New Roman" w:hAnsi="Times New Roman"/>
                <w:b w:val="false"/>
                <w:bCs w:val="false"/>
                <w:i w:val="false"/>
                <w:iCs w:val="false"/>
                <w:sz w:val="19"/>
                <w:szCs w:val="19"/>
              </w:rPr>
              <w:t xml:space="preserve"> transcrito. Citar como "decisão que manteve acórdão do TJDFT" ou retirar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 Rebello Pinho, 20ª CDP, 24/08/2020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frase fiel (item 5.2). Mas a Câmara </w:t>
            </w:r>
            <w:r>
              <w:rPr>
                <w:rFonts w:ascii="Times New Roman" w:cs="Times New Roman" w:eastAsia="Times New Roman" w:hAnsi="Times New Roman"/>
                <w:b/>
                <w:bCs/>
                <w:i w:val="false"/>
                <w:iCs w:val="false"/>
                <w:sz w:val="19"/>
                <w:szCs w:val="19"/>
              </w:rPr>
              <w:t xml:space="preserve">reduziu a conta do credor</w:t>
            </w:r>
            <w:r>
              <w:rPr>
                <w:rFonts w:ascii="Times New Roman" w:cs="Times New Roman" w:eastAsia="Times New Roman" w:hAnsi="Times New Roman"/>
                <w:b w:val="false"/>
                <w:bCs w:val="false"/>
                <w:i w:val="false"/>
                <w:iCs w:val="false"/>
                <w:sz w:val="19"/>
                <w:szCs w:val="19"/>
              </w:rPr>
              <w:t xml:space="preserve">, rejeitou preclusão e condenou o credor em honorários. A contraminuta pode virar o precedente. Manter só com a frase e o contexto explicado, ou substituir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Noronha, 22/06/2011</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título judicial. Indicar "decisão monocrática"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 Edson Vidigal, DJ 11/09/2000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j. 15/08/2000; ementa fiel; título judicial; útil pela fé pública da Contadoria e pela "concordância tácita" da parte que, com vista, silenciou</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 Cueva, 3ª T., 23/08/2022</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Fiel; CCB; art. 893 CC e Tema 361/STF. Ver C4</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 Cueva</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(06/05/2014, DJe 16/05/2014); o AgRg (3ª T., 10/06/2014) não está na pasta. Frase fiel. Dois gumes: fidelidade ao título judicial</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1.122.847/SP, Raul Araújo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é </w:t>
            </w:r>
            <w:r>
              <w:rPr>
                <w:rFonts w:ascii="Times New Roman" w:cs="Times New Roman" w:eastAsia="Times New Roman" w:hAnsi="Times New Roman"/>
                <w:b/>
                <w:bCs/>
                <w:i w:val="false"/>
                <w:iCs w:val="false"/>
                <w:sz w:val="19"/>
                <w:szCs w:val="19"/>
              </w:rPr>
              <w:t xml:space="preserve">AgInt nos EDcl no AREsp 1.122.847/SP</w:t>
            </w:r>
            <w:r>
              <w:rPr>
                <w:rFonts w:ascii="Times New Roman" w:cs="Times New Roman" w:eastAsia="Times New Roman" w:hAnsi="Times New Roman"/>
                <w:b w:val="false"/>
                <w:bCs w:val="false"/>
                <w:i w:val="false"/>
                <w:iCs w:val="false"/>
                <w:sz w:val="19"/>
                <w:szCs w:val="19"/>
              </w:rPr>
              <w:t xml:space="preserve">, 4ª T., 10/10/2023, DJe 27/10/2023. A frase citada é do AgRg no AREsp 43.936 transcrito. O STJ ali </w:t>
            </w:r>
            <w:r>
              <w:rPr>
                <w:rFonts w:ascii="Times New Roman" w:cs="Times New Roman" w:eastAsia="Times New Roman" w:hAnsi="Times New Roman"/>
                <w:b/>
                <w:bCs/>
                <w:i w:val="false"/>
                <w:iCs w:val="false"/>
                <w:sz w:val="19"/>
                <w:szCs w:val="19"/>
              </w:rPr>
              <w:t xml:space="preserve">expurgou capitalização de laudo homologado</w:t>
            </w:r>
            <w:r>
              <w:rPr>
                <w:rFonts w:ascii="Times New Roman" w:cs="Times New Roman" w:eastAsia="Times New Roman" w:hAnsi="Times New Roman"/>
                <w:b w:val="false"/>
                <w:bCs w:val="false"/>
                <w:i w:val="false"/>
                <w:iCs w:val="false"/>
                <w:sz w:val="19"/>
                <w:szCs w:val="19"/>
              </w:rPr>
              <w:t xml:space="preserve"> por falta de previsão no título judicial: dois gumes</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93/STJ, Súmula 596/STF, DL 413/69 art.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Fiéis. Art. 5º, parágrafo único, limita a mora a +1% a.a. (ver C1)</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omissa quanto a juros; fora de contexto em execução extrajudicial. Substituir por art. 397 CC + art. 5º DL 413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121/STF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para afastá-la; ok</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 art. 337, §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1.062 CC/16; art. 406 CC</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Corretos. Nota: REsp 1.795.982/SP (Corte Especial, 21/08/2024, DJe 23/10/2024) fixou </w:t>
            </w:r>
            <w:r>
              <w:rPr>
                <w:rFonts w:ascii="Times New Roman" w:cs="Times New Roman" w:eastAsia="Times New Roman" w:hAnsi="Times New Roman"/>
                <w:b/>
                <w:bCs/>
                <w:i w:val="false"/>
                <w:iCs w:val="false"/>
                <w:sz w:val="19"/>
                <w:szCs w:val="19"/>
              </w:rPr>
              <w:t xml:space="preserve">SELIC</w:t>
            </w:r>
            <w:r>
              <w:rPr>
                <w:rFonts w:ascii="Times New Roman" w:cs="Times New Roman" w:eastAsia="Times New Roman" w:hAnsi="Times New Roman"/>
                <w:b w:val="false"/>
                <w:bCs w:val="false"/>
                <w:i w:val="false"/>
                <w:iCs w:val="false"/>
                <w:sz w:val="19"/>
                <w:szCs w:val="19"/>
              </w:rPr>
              <w:t xml:space="preserve"> como taxa do art. 406 na redação anterior à Lei 14.905/24; não suscitar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"eproc" (preparo)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TJSP usa e-SAJ; o preparo foi recolhido em dobro em 28/07/2026 (duas guias). Sem certidão de regularidade no Drive</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e AgInt no REsp 2.127.021/DF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estão no agravo.</w:t>
            </w:r>
            <w:r>
              <w:rPr>
                <w:rFonts w:ascii="Times New Roman" w:cs="Times New Roman" w:eastAsia="Times New Roman" w:hAnsi="Times New Roman"/>
                <w:b w:val="false"/>
                <w:bCs w:val="false"/>
                <w:i w:val="false"/>
                <w:iCs w:val="false"/>
                <w:sz w:val="19"/>
                <w:szCs w:val="19"/>
              </w:rPr>
              <w:t xml:space="preserve"> Ambos verificados e favoráveis; usar nos memoriais</w:t>
            </w:r>
          </w:p>
        </w:tc>
      </w:tr>
    </w:tbl>
    <w:p>
      <w:pPr>
        <w:spacing w:after="120"/>
      </w:pPr>
    </w:p>
    <w:p>
      <w:pPr>
        <w:pStyle w:val="Heading2"/>
        <w:keepNext/>
      </w:pPr>
      <w:r>
        <w:rPr>
          <w:rFonts w:ascii="Times New Roman" w:cs="Times New Roman" w:eastAsia="Times New Roman" w:hAnsi="Times New Roman"/>
        </w:rPr>
        <w:t xml:space="preserve">D2. Substitutos mais fortes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0"/>
        <w:gridCol w:w="5611"/>
      </w:tblGrid>
      <w:tr>
        <w:trPr>
          <w:cantSplit/>
          <w:tblHeader/>
        </w:trPr>
        <w:tc>
          <w:tcPr>
            <w:tcW w:type="dxa" w:w="34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vulnerável</w:t>
            </w:r>
          </w:p>
        </w:tc>
        <w:tc>
          <w:tcPr>
            <w:tcW w:type="dxa" w:w="56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Substituto (na pasta)</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(renúncia)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 (3ª T., Nancy Andrighi, 12/09/2023, DJe 28/09/2023): ato praticado "em cumprimento à decisão jurisdicional (art. 77, IV)" não é aquiescência; "havendo dúvida acerca da anuência (…) prosseguimento do julgamento do recurso"</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 (19ª CDP, Tabosa Pessoa, 11/12/2023) e AI 2401202-39.2025 (7ª CDP, Pastorelo Kfouri, 30/04/2026): preclusão de homologação não recorrida, com multa ao devedor</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(monocrática)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 (3ª T., Humberto Martins, 19/08/2024): execução de título extrajudicial; conta da Contadoria homologada; critério ≠ erro material</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 / 1.122.847 (dois gumes)</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 (1ª T., 16/02/2012) + EREsp 1.229.406/SP (Noronha, 05/08/2014): conta homologada não se revê para expurgar anatocismo, "independentemente do acerto ou desacerto dos critérios"</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(4ª T., Noronha, 10/03/2026, DJEN 12/03/2026): concordância com conta homologada em execução extrajudicial bancária gera preclusão lógica</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E — COERÊNCIA DA 13ª CDP / RELATORA</w:t>
      </w:r>
    </w:p>
    <w:p>
      <w:pPr>
        <w:pStyle w:val="Heading2"/>
        <w:keepNext/>
      </w:pPr>
      <w:r>
        <w:rPr>
          <w:rFonts w:ascii="Times New Roman" w:cs="Times New Roman" w:eastAsia="Times New Roman" w:hAnsi="Times New Roman"/>
        </w:rPr>
        <w:t xml:space="preserve">E1. Os três acórdãos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(j. 05/12/2022, v.u., com Heraldo de Oliveira e Francisco Giaquinto; Registro 2022.0000998636): só avaliação; "a mera discrepância entre avaliações não autoriza, por si só, a realização de uma nova avaliação". Certidão de encaminhamento ao arquivo com "comunicação do trânsito em julgado": fls. 1931 e-SAJ (CP 394), datada de </w:t>
      </w:r>
      <w:r>
        <w:rPr>
          <w:rFonts w:ascii="Times New Roman" w:cs="Times New Roman" w:eastAsia="Times New Roman" w:hAnsi="Times New Roman"/>
          <w:b/>
          <w:bCs/>
          <w:i w:val="false"/>
          <w:iCs w:val="false"/>
        </w:rPr>
        <w:t xml:space="preserve">29/02/2024</w:t>
      </w:r>
      <w:r>
        <w:rPr>
          <w:rFonts w:ascii="Times New Roman" w:cs="Times New Roman" w:eastAsia="Times New Roman" w:hAnsi="Times New Roman"/>
          <w:b w:val="false"/>
          <w:bCs w:val="false"/>
          <w:i w:val="false"/>
          <w:iCs w:val="false"/>
        </w:rPr>
        <w:t xml:space="preserve"> (a data do trânsito não consta). REsp do executado inadmitido pela Presidência da Seção (fls. 1757/1759 e-SAJ, Des. Beretta da Silveira, 05/05/2023, Súmula 7).</w:t>
      </w:r>
    </w:p>
    <w:p>
      <w:pPr>
        <w:spacing w:after="120" w:line="360"/>
        <w:jc w:val="both"/>
      </w:pPr>
      <w:r>
        <w:rPr>
          <w:rFonts w:ascii="Times New Roman" w:cs="Times New Roman" w:eastAsia="Times New Roman" w:hAnsi="Times New Roman"/>
          <w:b/>
          <w:bCs/>
          <w:i w:val="false"/>
          <w:iCs w:val="false"/>
        </w:rPr>
        <w:t xml:space="preserve">AI 2236642-80.2025</w:t>
      </w:r>
      <w:r>
        <w:rPr>
          <w:rFonts w:ascii="Times New Roman" w:cs="Times New Roman" w:eastAsia="Times New Roman" w:hAnsi="Times New Roman"/>
          <w:b w:val="false"/>
          <w:bCs w:val="false"/>
          <w:i w:val="false"/>
          <w:iCs w:val="false"/>
        </w:rPr>
        <w:t xml:space="preserve"> (j. 07/10/2025, v.u., Simões de Almeida, Giaquinto, Nelson Jorge Júnior; Registro 2025.0001067531): trechos úteis: "a única tese ali deduzida"; "indevida inovação"; "supressão de um grau de jurisdição"; "mantida, no mais". Contra: "o percentual de 9% do valor da execução se mostra excessivo, considerando-se o expressivo valor executado (fls. 3.055)" (R$ 4 milhões já era "expressivo"); e o acórdão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multa/honorários, deixando-o "em aberto" para o executado dizer.</w:t>
      </w:r>
    </w:p>
    <w:p>
      <w:pPr>
        <w:spacing w:after="120" w:line="360"/>
        <w:jc w:val="both"/>
      </w:pPr>
      <w:r>
        <w:rPr>
          <w:rFonts w:ascii="Times New Roman" w:cs="Times New Roman" w:eastAsia="Times New Roman" w:hAnsi="Times New Roman"/>
          <w:b/>
          <w:bCs/>
          <w:i w:val="false"/>
          <w:iCs w:val="false"/>
        </w:rPr>
        <w:t xml:space="preserve">AI 2353386-61.2025</w:t>
      </w:r>
      <w:r>
        <w:rPr>
          <w:rFonts w:ascii="Times New Roman" w:cs="Times New Roman" w:eastAsia="Times New Roman" w:hAnsi="Times New Roman"/>
          <w:b w:val="false"/>
          <w:bCs w:val="false"/>
          <w:i w:val="false"/>
          <w:iCs w:val="false"/>
        </w:rPr>
        <w:t xml:space="preserve"> (j. 04/03/2026, v.u., Heraldo de Oliveira e Giaquinto; Registro 2026.0000169763; fls. 3395/3403 e-SAJ): a Relatora adota a decisão de 1º grau ("As conclusões a que chega são exatamente as mesmas"), que diz: "A decisão de homologação (…) irrecorrível em seu mérito após o julgamento do agravo, encontra-se sob o manto da </w:t>
      </w:r>
      <w:r>
        <w:rPr>
          <w:rFonts w:ascii="Times New Roman" w:cs="Times New Roman" w:eastAsia="Times New Roman" w:hAnsi="Times New Roman"/>
          <w:b/>
          <w:bCs/>
          <w:i w:val="false"/>
          <w:iCs w:val="false"/>
        </w:rPr>
        <w:t xml:space="preserve">preclusão pro iudicato</w:t>
      </w:r>
      <w:r>
        <w:rPr>
          <w:rFonts w:ascii="Times New Roman" w:cs="Times New Roman" w:eastAsia="Times New Roman" w:hAnsi="Times New Roman"/>
          <w:b w:val="false"/>
          <w:bCs w:val="false"/>
          <w:i w:val="false"/>
          <w:iCs w:val="false"/>
        </w:rPr>
        <w:t xml:space="preserve">, não havendo espaço, neste momento de conclusão dos atos expropriatórios, para a reanálise de matéria já resolvida"; "a adoção de nova avaliação implicaria um </w:t>
      </w:r>
      <w:r>
        <w:rPr>
          <w:rFonts w:ascii="Times New Roman" w:cs="Times New Roman" w:eastAsia="Times New Roman" w:hAnsi="Times New Roman"/>
          <w:b/>
          <w:bCs/>
          <w:i w:val="false"/>
          <w:iCs w:val="false"/>
        </w:rPr>
        <w:t xml:space="preserve">retrocesso indevido</w:t>
      </w:r>
      <w:r>
        <w:rPr>
          <w:rFonts w:ascii="Times New Roman" w:cs="Times New Roman" w:eastAsia="Times New Roman" w:hAnsi="Times New Roman"/>
          <w:b w:val="false"/>
          <w:bCs w:val="false"/>
          <w:i w:val="false"/>
          <w:iCs w:val="false"/>
        </w:rPr>
        <w:t xml:space="preserve">, protelando injustificadamente o desfecho de um processo que caminha para quatro décadas"; "padrão de deslealdade processual". A expressão "</w:t>
      </w:r>
      <w:r>
        <w:rPr>
          <w:rFonts w:ascii="Times New Roman" w:cs="Times New Roman" w:eastAsia="Times New Roman" w:hAnsi="Times New Roman"/>
          <w:b/>
          <w:bCs/>
          <w:i w:val="false"/>
          <w:iCs w:val="false"/>
        </w:rPr>
        <w:t xml:space="preserve">devedor contumaz</w:t>
      </w:r>
      <w:r>
        <w:rPr>
          <w:rFonts w:ascii="Times New Roman" w:cs="Times New Roman" w:eastAsia="Times New Roman" w:hAnsi="Times New Roman"/>
          <w:b w:val="false"/>
          <w:bCs w:val="false"/>
          <w:i w:val="false"/>
          <w:iCs w:val="false"/>
        </w:rPr>
        <w:t xml:space="preserve">" é da decisão de Chavantes de 14/03/2024 (fls. 1932: "esgotando, assim, todos os recursos cabíveis em favor do devedor contumaz"), não do acórdão. 🟩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fls. 3404/3406 e-SAJ lidas em imagem. A Relatora manteve a multa de 5% por litigância de má-fé imposta ao executado: "havendo tentativa de induzir o juiz a erro, com a alteração da verdade dos fatos (…), que tentava suspender o leilão e protelar o ato expropriatório, o que configura conduta desleal tipificada no art. 80, incisos II e IV do CPC. Não é ainda o caso de redução da multa, uma vez que houve reincidência em sua conduta, que cabe ser coibida pelo Poder Judiciário" (fls. 3404/3405 e-SAJ). Também manteve a Tabela Prática do TJSP em vez do IGP-M e negou provimento (fls. 3406). </w:t>
      </w:r>
      <w:r>
        <w:rPr>
          <w:rFonts w:ascii="Times New Roman" w:cs="Times New Roman" w:eastAsia="Times New Roman" w:hAnsi="Times New Roman"/>
          <w:b/>
          <w:bCs/>
          <w:i w:val="false"/>
          <w:iCs w:val="false"/>
        </w:rPr>
        <w:t xml:space="preserve">Cuidado de citação:</w:t>
      </w:r>
      <w:r>
        <w:rPr>
          <w:rFonts w:ascii="Times New Roman" w:cs="Times New Roman" w:eastAsia="Times New Roman" w:hAnsi="Times New Roman"/>
          <w:b w:val="false"/>
          <w:bCs w:val="false"/>
          <w:i w:val="false"/>
          <w:iCs w:val="false"/>
        </w:rPr>
        <w:t xml:space="preserve"> em fls. 3404, o texto diz "por parte do </w:t>
      </w:r>
      <w:r>
        <w:rPr>
          <w:rFonts w:ascii="Times New Roman" w:cs="Times New Roman" w:eastAsia="Times New Roman" w:hAnsi="Times New Roman"/>
          <w:b/>
          <w:bCs/>
          <w:i w:val="false"/>
          <w:iCs w:val="false"/>
        </w:rPr>
        <w:t xml:space="preserve">exequente</w:t>
      </w:r>
      <w:r>
        <w:rPr>
          <w:rFonts w:ascii="Times New Roman" w:cs="Times New Roman" w:eastAsia="Times New Roman" w:hAnsi="Times New Roman"/>
          <w:b w:val="false"/>
          <w:bCs w:val="false"/>
          <w:i w:val="false"/>
          <w:iCs w:val="false"/>
        </w:rPr>
        <w:t xml:space="preserve">", mas a multa foi imposta ao executado Espólio (fls. 3403: "condeno o executado ESPÓLIO DE SÉRGIO BUENO PEREIRA DA CUNHA ao pagamento de multa"). É lapso material do acórdão. Nos memoriais, transcrever com "[sic]" ou citar só o trecho de fls. 3403 e a expressão "reincidência em sua conduta".</w:t>
      </w:r>
    </w:p>
    <w:p>
      <w:pPr>
        <w:spacing w:after="120" w:line="360"/>
        <w:jc w:val="both"/>
      </w:pPr>
      <w:r>
        <w:rPr>
          <w:rFonts w:ascii="Times New Roman" w:cs="Times New Roman" w:eastAsia="Times New Roman" w:hAnsi="Times New Roman"/>
          <w:b w:val="false"/>
          <w:bCs w:val="false"/>
          <w:i w:val="false"/>
          <w:iCs w:val="false"/>
        </w:rPr>
        <w:t xml:space="preserve">Uso nos memoriais (art. 926): "A mesma Câmara que, há seis meses, disse que reabrir a avaliação homologada seria 'retrocesso indevido' sob 'o manto da preclusão pro iudicato', não pode admitir que se reabra, de ofício, a conta homologada trinta anos antes." Contra-uso pelo executado: a preclusão da avaliação foi reconhecida </w:t>
      </w:r>
      <w:r>
        <w:rPr>
          <w:rFonts w:ascii="Times New Roman" w:cs="Times New Roman" w:eastAsia="Times New Roman" w:hAnsi="Times New Roman"/>
          <w:b/>
          <w:bCs/>
          <w:i w:val="false"/>
          <w:iCs w:val="false"/>
        </w:rPr>
        <w:t xml:space="preserve">contra o devedor</w:t>
      </w:r>
      <w:r>
        <w:rPr>
          <w:rFonts w:ascii="Times New Roman" w:cs="Times New Roman" w:eastAsia="Times New Roman" w:hAnsi="Times New Roman"/>
          <w:b w:val="false"/>
          <w:bCs w:val="false"/>
          <w:i w:val="false"/>
          <w:iCs w:val="false"/>
        </w:rPr>
        <w:t xml:space="preserve">; ele dirá que preclusão vale para os dois lados (fls. 3066 não agravada pelos exequentes). É o risco central; responder com A2 e F1.</w:t>
      </w:r>
    </w:p>
    <w:p>
      <w:pPr>
        <w:pStyle w:val="Heading2"/>
        <w:keepNext/>
      </w:pPr>
      <w:r>
        <w:rPr>
          <w:rFonts w:ascii="Times New Roman" w:cs="Times New Roman" w:eastAsia="Times New Roman" w:hAnsi="Times New Roman"/>
        </w:rPr>
        <w:t xml:space="preserve">E2. Apelação 0017993-79.2012</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Lida (15 de 15 páginas).</w:t>
      </w:r>
      <w:r>
        <w:rPr>
          <w:rFonts w:ascii="Times New Roman" w:cs="Times New Roman" w:eastAsia="Times New Roman" w:hAnsi="Times New Roman"/>
          <w:b w:val="false"/>
          <w:bCs w:val="false"/>
          <w:i w:val="false"/>
          <w:iCs w:val="false"/>
        </w:rPr>
        <w:t xml:space="preserve"> TJSP, 13ª Câmara de Direito Privado, Rel. Des. Ana de Lourdes Coutinho Silva da Fonseca, com Heraldo de Oliveira e Francisco Giaquinto, j. 23/11/2016, v.u., Registro 2016.0000860543. Apelante: Janne (Jane) Mendes Rennó, embargante de terceiro, ex-cônjuge do executado; apelados: os três Rosini. Resultado: recurso desprovido, embargos improcedentes. A frase existe (p. 11): "em decorrência do longo período decorrido desde então, faz-se necessária a reavaliação dos valores, tanto do débito, quanto do imóvel penhorado, tal como determinado pelo douto magistrado sentenciante, de maneira que, apenas após as reavaliações, será cabível eventual alegação de excesso de penhora, nos termos do artigo 874, inciso I, do CPC/15 (art. 685, I, do CPC/73)."</w:t>
      </w:r>
    </w:p>
    <w:p>
      <w:pPr>
        <w:spacing w:after="120" w:line="360"/>
        <w:jc w:val="both"/>
      </w:pPr>
      <w:r>
        <w:rPr>
          <w:rFonts w:ascii="Times New Roman" w:cs="Times New Roman" w:eastAsia="Times New Roman" w:hAnsi="Times New Roman"/>
          <w:b/>
          <w:bCs/>
          <w:i w:val="false"/>
          <w:iCs w:val="false"/>
        </w:rPr>
        <w:t xml:space="preserve">Enquadramento:</w:t>
      </w:r>
      <w:r>
        <w:rPr>
          <w:rFonts w:ascii="Times New Roman" w:cs="Times New Roman" w:eastAsia="Times New Roman" w:hAnsi="Times New Roman"/>
          <w:b w:val="false"/>
          <w:bCs w:val="false"/>
          <w:i w:val="false"/>
          <w:iCs w:val="false"/>
        </w:rPr>
        <w:t xml:space="preserve"> "reavaliação do débito" ali significa </w:t>
      </w:r>
      <w:r>
        <w:rPr>
          <w:rFonts w:ascii="Times New Roman" w:cs="Times New Roman" w:eastAsia="Times New Roman" w:hAnsi="Times New Roman"/>
          <w:b/>
          <w:bCs/>
          <w:i w:val="false"/>
          <w:iCs w:val="false"/>
        </w:rPr>
        <w:t xml:space="preserve">atualização do valor pelo decurso do tempo</w:t>
      </w:r>
      <w:r>
        <w:rPr>
          <w:rFonts w:ascii="Times New Roman" w:cs="Times New Roman" w:eastAsia="Times New Roman" w:hAnsi="Times New Roman"/>
          <w:b w:val="false"/>
          <w:bCs w:val="false"/>
          <w:i w:val="false"/>
          <w:iCs w:val="false"/>
        </w:rPr>
        <w:t xml:space="preserve"> (as praças estavam suspensas desde 2012), para aferir excesso de </w:t>
      </w:r>
      <w:r>
        <w:rPr>
          <w:rFonts w:ascii="Times New Roman" w:cs="Times New Roman" w:eastAsia="Times New Roman" w:hAnsi="Times New Roman"/>
          <w:b/>
          <w:bCs/>
          <w:i w:val="false"/>
          <w:iCs w:val="false"/>
        </w:rPr>
        <w:t xml:space="preserve">penhora</w:t>
      </w:r>
      <w:r>
        <w:rPr>
          <w:rFonts w:ascii="Times New Roman" w:cs="Times New Roman" w:eastAsia="Times New Roman" w:hAnsi="Times New Roman"/>
          <w:b w:val="false"/>
          <w:bCs w:val="false"/>
          <w:i w:val="false"/>
          <w:iCs w:val="false"/>
        </w:rPr>
        <w:t xml:space="preserve"> (art. 874, I), não revisão dos critérios da conta homologada. O acórdão não trata de conta da Contadoria nem de recálculo desde 1987. O executado poderá citá-lo como "autorização da Câmara para recalcular o débito"; a resposta é a distinção acima. A favor dos exequentes, o mesmo acórdão transcreve a sentença: "Trata-se de matéria decidida sobre a qual se operou a preclusão e que não pode ser renovada" (p. 5), e cita Araken de Assis: "Não se deve confundir excesso de penhora com excesso de execução" (p. 14).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citar a Apelação 0017993-79.2012 como quarto precedente da própria Relatora neste processo, pela dupla razão: preclusão de matéria decidida e distinção entre atualizar o débito (art. 874) e reabrir sua base.</w:t>
      </w:r>
    </w:p>
    <w:p>
      <w:pPr>
        <w:pStyle w:val="Heading1"/>
        <w:keepNext/>
      </w:pPr>
      <w:r>
        <w:rPr>
          <w:rFonts w:ascii="Times New Roman" w:cs="Times New Roman" w:eastAsia="Times New Roman" w:hAnsi="Times New Roman"/>
        </w:rPr>
        <w:t xml:space="preserve">BLOCO F — CUMPRIR ORDEM NÃO É AQUIESCER; VENIRE</w:t>
      </w:r>
    </w:p>
    <w:p>
      <w:pPr>
        <w:pStyle w:val="Heading2"/>
        <w:keepNext/>
      </w:pPr>
      <w:r>
        <w:rPr>
          <w:rFonts w:ascii="Times New Roman" w:cs="Times New Roman" w:eastAsia="Times New Roman" w:hAnsi="Times New Roman"/>
        </w:rPr>
        <w:t xml:space="preserve">F1. Parágrafo-base</w:t>
      </w:r>
    </w:p>
    <w:p>
      <w:pPr>
        <w:spacing w:after="120" w:line="360"/>
        <w:jc w:val="both"/>
      </w:pPr>
      <w:r>
        <w:rPr>
          <w:rFonts w:ascii="Times New Roman" w:cs="Times New Roman" w:eastAsia="Times New Roman" w:hAnsi="Times New Roman"/>
          <w:b w:val="false"/>
          <w:bCs w:val="false"/>
          <w:i w:val="false"/>
          <w:iCs w:val="false"/>
        </w:rPr>
        <w:t xml:space="preserve">🟩 Precedentes conferidos: REsp 2.018.575/PR (3ª T., Nancy Andrighi, 12/09/2023, DJe 28/09/2023); EDcl no REsp 2.178.097/RS (4ª T., Raul Araújo, sessão 19-25/05/2026, DJEN 01/06/2026): "A baixa administrativa do gravame fiduciário, realizada sob o império de determinação judicial e cominação de multa, não importa aquiescência com a decisão recorrida"; REsp 1.655.655/SP (3ª T., Cueva, 25/06/2019, DJe 01/07/2019): "a aceitação tácita deve ser inequívoca"; "na dúvida, deve-se em qualquer hipótese considerar excluída a aquiescência tácita". 🟨 AgInt no AREsp 1.851.737/DF, AI 2181564-67.2026 e AI 2297076-69.2024: não estão na pasta; não citar até conferir.</w:t>
      </w:r>
    </w:p>
    <w:p>
      <w:pPr>
        <w:spacing w:after="120" w:line="360"/>
        <w:jc w:val="both"/>
      </w:pPr>
      <w:r>
        <w:rPr>
          <w:rFonts w:ascii="Times New Roman" w:cs="Times New Roman" w:eastAsia="Times New Roman" w:hAnsi="Times New Roman"/>
          <w:b w:val="false"/>
          <w:bCs w:val="false"/>
          <w:i w:val="false"/>
          <w:iCs w:val="false"/>
        </w:rPr>
        <w:t xml:space="preserve">Parágrafo-base:</w:t>
      </w:r>
    </w:p>
    <w:p>
      <w:pPr>
        <w:pBdr>
          <w:left w:val="single" w:color="C9A227" w:sz="18" w:space="8"/>
        </w:pBdr>
        <w:shd w:fill="FFF8E1" w:color="auto" w:val="clear"/>
        <w:spacing w:after="80" w:line="300"/>
        <w:ind w:left="567" w:right="283"/>
        <w:jc w:val="both"/>
      </w:pPr>
      <w:r>
        <w:rPr>
          <w:rFonts w:ascii="Times New Roman" w:cs="Times New Roman" w:eastAsia="Times New Roman" w:hAnsi="Times New Roman"/>
          <w:b w:val="false"/>
          <w:bCs w:val="false"/>
          <w:i w:val="false"/>
          <w:iCs w:val="false"/>
          <w:sz w:val="22"/>
          <w:szCs w:val="22"/>
        </w:rPr>
        <w:t xml:space="preserve">"As planilhas de fls. 1947/1948 (CP 410/411) e 3077/3078 foram apresentadas em cumprimento de ordens judiciais expressas (decisão de 14/03/2024, fls. 1932: 'tal diligência incumbe ao exequente, que ora se determina'; decisão de fls. 3066, item 2, com prazo de dez dias), sob a advertência de que a execução só prosseguiria com o cálculo. O art. 1.000, parágrafo único, do CPC exige, para a aceitação tácita, ato praticado 'sem nenhuma reserva' e 'incompatível com a vontade de recorrer'; o art. 520, § 3º, e o art. 77, IV, mostram que o cumprimento de decisão judicial é dever, não adesão. O STJ afasta a preclusão lógica quando o ato é praticado 'em cumprimento à decisão jurisdicional (art. 77, IV, do CPC/2015)', pois 'não representa conduta espontânea reveladora da aquiescência tácita inequívoca' (REsp 2.018.575/PR, 3ª T., Rel. Min. Nancy Andrighi, j. 12/09/2023), e reafirma que ato praticado 'sob o império de determinação judicial e cominação de multa não importa aquiescência' (EDcl no REsp 2.178.097/RS, 4ª T., Rel. Min. Raul Araújo, j. 25/05/2026); 'na dúvida, deve-se em qualquer hipótese considerar excluída a aquiescência tácita' (REsp 1.655.655/SP, 3ª T., Rel. Min. Villas Bôas Cueva, j. 25/06/2019)."</w:t>
      </w:r>
    </w:p>
    <w:p>
      <w:pPr>
        <w:spacing w:after="120"/>
      </w:pPr>
    </w:p>
    <w:p>
      <w:pPr>
        <w:spacing w:after="120" w:line="360"/>
        <w:jc w:val="both"/>
      </w:pPr>
      <w:r>
        <w:rPr>
          <w:rFonts w:ascii="Times New Roman" w:cs="Times New Roman" w:eastAsia="Times New Roman" w:hAnsi="Times New Roman"/>
          <w:b w:val="false"/>
          <w:bCs w:val="false"/>
          <w:i w:val="false"/>
          <w:iCs w:val="false"/>
        </w:rPr>
        <w:t xml:space="preserve">Contra: AgInt no REsp 1.476.534/CE ("valores incontroversos, sem ressalva alguma") e AgInt no AREsp 2.500.976/PR ("concordância expressa com a conta homologada"). Distinção: em ambos a parte apresentou valores </w:t>
      </w:r>
      <w:r>
        <w:rPr>
          <w:rFonts w:ascii="Times New Roman" w:cs="Times New Roman" w:eastAsia="Times New Roman" w:hAnsi="Times New Roman"/>
          <w:b/>
          <w:bCs/>
          <w:i w:val="false"/>
          <w:iCs w:val="false"/>
        </w:rPr>
        <w:t xml:space="preserve">espontaneamente</w:t>
      </w:r>
      <w:r>
        <w:rPr>
          <w:rFonts w:ascii="Times New Roman" w:cs="Times New Roman" w:eastAsia="Times New Roman" w:hAnsi="Times New Roman"/>
          <w:b w:val="false"/>
          <w:bCs w:val="false"/>
          <w:i w:val="false"/>
          <w:iCs w:val="false"/>
        </w:rPr>
        <w:t xml:space="preserve"> ou </w:t>
      </w:r>
      <w:r>
        <w:rPr>
          <w:rFonts w:ascii="Times New Roman" w:cs="Times New Roman" w:eastAsia="Times New Roman" w:hAnsi="Times New Roman"/>
          <w:b/>
          <w:bCs/>
          <w:i w:val="false"/>
          <w:iCs w:val="false"/>
        </w:rPr>
        <w:t xml:space="preserve">concordou expressamente</w:t>
      </w:r>
      <w:r>
        <w:rPr>
          <w:rFonts w:ascii="Times New Roman" w:cs="Times New Roman" w:eastAsia="Times New Roman" w:hAnsi="Times New Roman"/>
          <w:b w:val="false"/>
          <w:bCs w:val="false"/>
          <w:i w:val="false"/>
          <w:iCs w:val="false"/>
        </w:rPr>
        <w:t xml:space="preserve">; aqui houve ordem com prazo.</w:t>
      </w:r>
    </w:p>
    <w:p>
      <w:pPr>
        <w:pStyle w:val="Heading2"/>
        <w:keepNext/>
      </w:pPr>
      <w:r>
        <w:rPr>
          <w:rFonts w:ascii="Times New Roman" w:cs="Times New Roman" w:eastAsia="Times New Roman" w:hAnsi="Times New Roman"/>
        </w:rPr>
        <w:t xml:space="preserve">F2. Venire: as planilhas desde 1987</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Este é o ponto mais perigoso do caso, e a premissa do prompt está errada.</w:t>
      </w:r>
      <w:r>
        <w:rPr>
          <w:rFonts w:ascii="Times New Roman" w:cs="Times New Roman" w:eastAsia="Times New Roman" w:hAnsi="Times New Roman"/>
          <w:b w:val="false"/>
          <w:bCs w:val="false"/>
          <w:i w:val="false"/>
          <w:iCs w:val="false"/>
        </w:rPr>
        <w:t xml:space="preserve"> Não é verdade que "a base dos exequentes sempre foi a conta de fls. 203". As planilhas lidas, </w:t>
      </w:r>
      <w:r>
        <w:rPr>
          <w:rFonts w:ascii="Times New Roman" w:cs="Times New Roman" w:eastAsia="Times New Roman" w:hAnsi="Times New Roman"/>
          <w:b/>
          <w:bCs/>
          <w:i w:val="false"/>
          <w:iCs w:val="false"/>
        </w:rPr>
        <w:t xml:space="preserve">todas</w:t>
      </w:r>
      <w:r>
        <w:rPr>
          <w:rFonts w:ascii="Times New Roman" w:cs="Times New Roman" w:eastAsia="Times New Roman" w:hAnsi="Times New Roman"/>
          <w:b w:val="false"/>
          <w:bCs w:val="false"/>
          <w:i w:val="false"/>
          <w:iCs w:val="false"/>
        </w:rPr>
        <w:t xml:space="preserve">, partem de Cz$ 1.210.000,00 em maio/1987: Santander 12/09/2007 (fls. 2137/2139), que declarou: "inobstante a existência de decisão homologada nos autos principais (…) para evitar quaisquer tipos de discussões quanto ao valor do débito, </w:t>
      </w:r>
      <w:r>
        <w:rPr>
          <w:rFonts w:ascii="Times New Roman" w:cs="Times New Roman" w:eastAsia="Times New Roman" w:hAnsi="Times New Roman"/>
          <w:b/>
          <w:bCs/>
          <w:i w:val="false"/>
          <w:iCs w:val="false"/>
        </w:rPr>
        <w:t xml:space="preserve">por mera liberalidade, optou o credor</w:t>
      </w:r>
      <w:r>
        <w:rPr>
          <w:rFonts w:ascii="Times New Roman" w:cs="Times New Roman" w:eastAsia="Times New Roman" w:hAnsi="Times New Roman"/>
          <w:b w:val="false"/>
          <w:bCs w:val="false"/>
          <w:i w:val="false"/>
          <w:iCs w:val="false"/>
        </w:rPr>
        <w:t xml:space="preserve"> por apresentar (…) Valor do título Cz$ 1.210.000,00, corrigido monetariamente, acrescido de juros de 12% a.a., juros moratórios de 1% a.a., calculados de forma simples, multa contratual de 10% (…) e honorários advocatícios fixados nos Embargos à Execução no importe de 20% (…) R$ 859.100,93"; Santander 10/07/2009 (fls. 2402/2403); cessionários 25/10/2019 (fls. 2885), 19/04/2024 (fls. 1948), 04/06/2025 (fls. 3078). As de 18/03/2024 e 14/05/2025 partem do total anterior. A única invocação da base de 1995 antes de 2026 é a resposta à exceção de 16/09/2024 (fls. 1538: "a partir dos valores constantes da homologação judicial de fls. 203"), sem planilha correspondente. A decisão de fls. 3041 registra isso: "Após, não houve apresentação de nova conta de atualização do débito com homologação deste Juízo."</w:t>
      </w:r>
    </w:p>
    <w:p>
      <w:pPr>
        <w:spacing w:after="120" w:line="360"/>
        <w:jc w:val="both"/>
      </w:pPr>
      <w:r>
        <w:rPr>
          <w:rFonts w:ascii="Times New Roman" w:cs="Times New Roman" w:eastAsia="Times New Roman" w:hAnsi="Times New Roman"/>
          <w:b w:val="false"/>
          <w:bCs w:val="false"/>
          <w:i w:val="false"/>
          <w:iCs w:val="false"/>
        </w:rPr>
        <w:t xml:space="preserve">O executado dirá: por dezenove anos (2007-2026) o credor e seus cessionários calcularam desde 1987; a cessão foi por R$ 200 mil quando o próprio Santander dizia dever R$ 859 mil a R$ 1 milhão; invocar R$ 185 milhões em 2026 é </w:t>
      </w:r>
      <w:r>
        <w:rPr>
          <w:rFonts w:ascii="Times New Roman" w:cs="Times New Roman" w:eastAsia="Times New Roman" w:hAnsi="Times New Roman"/>
          <w:b w:val="false"/>
          <w:bCs w:val="false"/>
          <w:i/>
          <w:iCs/>
        </w:rPr>
        <w:t xml:space="preserve">venire contra factum proprium</w:t>
      </w:r>
      <w:r>
        <w:rPr>
          <w:rFonts w:ascii="Times New Roman" w:cs="Times New Roman" w:eastAsia="Times New Roman" w:hAnsi="Times New Roman"/>
          <w:b w:val="false"/>
          <w:bCs w:val="false"/>
          <w:i w:val="false"/>
          <w:iCs w:val="false"/>
        </w:rPr>
        <w:t xml:space="preserve"> e </w:t>
      </w:r>
      <w:r>
        <w:rPr>
          <w:rFonts w:ascii="Times New Roman" w:cs="Times New Roman" w:eastAsia="Times New Roman" w:hAnsi="Times New Roman"/>
          <w:b w:val="false"/>
          <w:bCs w:val="false"/>
          <w:i/>
          <w:iCs/>
        </w:rPr>
        <w:t xml:space="preserve">supressio</w:t>
      </w:r>
      <w:r>
        <w:rPr>
          <w:rFonts w:ascii="Times New Roman" w:cs="Times New Roman" w:eastAsia="Times New Roman" w:hAnsi="Times New Roman"/>
          <w:b w:val="false"/>
          <w:bCs w:val="false"/>
          <w:i w:val="false"/>
          <w:iCs w:val="false"/>
        </w:rPr>
        <w:t xml:space="preserve">.</w:t>
      </w:r>
    </w:p>
    <w:p>
      <w:pPr>
        <w:spacing w:after="120" w:line="360"/>
        <w:jc w:val="both"/>
      </w:pPr>
      <w:r>
        <w:rPr>
          <w:rFonts w:ascii="Times New Roman" w:cs="Times New Roman" w:eastAsia="Times New Roman" w:hAnsi="Times New Roman"/>
          <w:b w:val="false"/>
          <w:bCs w:val="false"/>
          <w:i w:val="false"/>
          <w:iCs w:val="false"/>
        </w:rPr>
        <w:t xml:space="preserve">Resposta possível (não perfeita): (a) "mera liberalidade" do cedente é exatamente o que diz o Santander: renúncia parcial, não desconstituição da homologação; renúncia interpreta-se estritamente (art. 114 CC) e não foi homologada (art. 487, III, "c"); (b) a cessão transferiu "o crédito descrito e caracterizado na cláusula primeira e respectivos acessórios" (cláusula 2ª), sem limitar ao valor das planilhas; (c) nenhuma dessas planilhas foi homologada; a única homologação é a de 1995 (fls. 3041 do próprio juízo); (d) o executado também se comportou de forma contraditória: em 2024 admitiu os 20% e o trânsito dos embargos, e agora nega. </w:t>
      </w:r>
      <w:r>
        <w:rPr>
          <w:rFonts w:ascii="Times New Roman" w:cs="Times New Roman" w:eastAsia="Times New Roman" w:hAnsi="Times New Roman"/>
          <w:b/>
          <w:bCs/>
          <w:i w:val="false"/>
          <w:iCs w:val="false"/>
        </w:rPr>
        <w:t xml:space="preserve">Mas</w:t>
      </w:r>
      <w:r>
        <w:rPr>
          <w:rFonts w:ascii="Times New Roman" w:cs="Times New Roman" w:eastAsia="Times New Roman" w:hAnsi="Times New Roman"/>
          <w:b w:val="false"/>
          <w:bCs w:val="false"/>
          <w:i w:val="false"/>
          <w:iCs w:val="false"/>
        </w:rPr>
        <w:t xml:space="preserve"> a Câmara pode entender que a apresentação reiterada de planilhas desde 1987, sem ressalva, por 19 anos, configura preclusão lógica (AgInt no REsp 1.476.534/CE) ou renúncia tácita ao excedente. Os memoriais precisam enfrentar isso de frente; ignorar é o pior caminho.</w:t>
      </w:r>
    </w:p>
    <w:p>
      <w:pPr>
        <w:spacing w:after="120" w:line="360"/>
        <w:jc w:val="both"/>
      </w:pPr>
      <w:r>
        <w:rPr>
          <w:rFonts w:ascii="Times New Roman" w:cs="Times New Roman" w:eastAsia="Times New Roman" w:hAnsi="Times New Roman"/>
          <w:b/>
          <w:bCs/>
          <w:i w:val="false"/>
          <w:iCs w:val="false"/>
        </w:rPr>
        <w:t xml:space="preserve">Julgados novos (v3).</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Contra, a distinguir: TJSP AI 2297076-69.2024</w:t>
      </w:r>
      <w:r>
        <w:rPr>
          <w:rFonts w:ascii="Times New Roman" w:cs="Times New Roman" w:eastAsia="Times New Roman" w:hAnsi="Times New Roman"/>
          <w:b w:val="false"/>
          <w:bCs w:val="false"/>
          <w:i w:val="false"/>
          <w:iCs w:val="false"/>
        </w:rPr>
        <w:t xml:space="preserve"> (19ª CDP, Rel. Jairo Brazil, j. 31/10/2024, v.u.). O executado depositou valor a menor "sem qualquer ressalva", pediu a extinção, e a Câmara reconheceu preclusão consumativa e lógica (art. 1.000, parágrafo único). O executado pode invocá-lo contra as planilhas dos exequentes sem ressalva.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lá houve ato espontâneo de disposição do próprio devedor (pagamento com pedido de extinção); aqui houve credor cumprindo ordem judicial com prazo (fls. 3066, item 2), hipótese em que o STJ afasta a aquiescência (REsp 2.018.575/PR).</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Contra, lido na íntegra na v4: AgInt no REsp 1.455.741/DF</w:t>
      </w:r>
      <w:r>
        <w:rPr>
          <w:rFonts w:ascii="Times New Roman" w:cs="Times New Roman" w:eastAsia="Times New Roman" w:hAnsi="Times New Roman"/>
          <w:b w:val="false"/>
          <w:bCs w:val="false"/>
          <w:i w:val="false"/>
          <w:iCs w:val="false"/>
        </w:rPr>
        <w:t xml:space="preserve"> (STJ, 4ª T., Rel. Min. Raul Araújo, sessão virtual de 26/05 a 01/06/2020, v.u.). Tese: "A decisão que delimita os cálculos e determina o envio dos autos à contadoria possui natureza jurídica de decisão interlocutória e, por conseguinte, sujeita-se a agravo de instrumento, </w:t>
      </w:r>
      <w:r>
        <w:rPr>
          <w:rFonts w:ascii="Times New Roman" w:cs="Times New Roman" w:eastAsia="Times New Roman" w:hAnsi="Times New Roman"/>
          <w:b/>
          <w:bCs/>
          <w:i w:val="false"/>
          <w:iCs w:val="false"/>
        </w:rPr>
        <w:t xml:space="preserve">sob pena de preclusão</w:t>
      </w:r>
      <w:r>
        <w:rPr>
          <w:rFonts w:ascii="Times New Roman" w:cs="Times New Roman" w:eastAsia="Times New Roman" w:hAnsi="Times New Roman"/>
          <w:b w:val="false"/>
          <w:bCs w:val="false"/>
          <w:i w:val="false"/>
          <w:iCs w:val="false"/>
        </w:rPr>
        <w:t xml:space="preserve">." No caso, o exequente perdeu os honorários da sentença dos embargos porque não agravou da decisão anterior que os excluíra. É o precedente mais perigoso contra os exequentes, porque fls. 3066 (item 2) delimitou o cálculo e não foi agravada. </w:t>
      </w:r>
      <w:r>
        <w:rPr>
          <w:rFonts w:ascii="Times New Roman" w:cs="Times New Roman" w:eastAsia="Times New Roman" w:hAnsi="Times New Roman"/>
          <w:b/>
          <w:bCs/>
          <w:i w:val="false"/>
          <w:iCs w:val="false"/>
        </w:rPr>
        <w:t xml:space="preserve">Resposta:</w:t>
      </w:r>
      <w:r>
        <w:rPr>
          <w:rFonts w:ascii="Times New Roman" w:cs="Times New Roman" w:eastAsia="Times New Roman" w:hAnsi="Times New Roman"/>
          <w:b w:val="false"/>
          <w:bCs w:val="false"/>
          <w:i w:val="false"/>
          <w:iCs w:val="false"/>
        </w:rPr>
        <w:t xml:space="preserve"> (a) aqui a delimitação de fls. 3066 contrariou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(Bloco J5), matéria de ordem pública não sujeita à preclusão; lá a exclusão não violava coisa julgada; (b) o mesmo precedente favorece os exequentes quanto à conta de 1995, que o devedor não agravou; (c) a decisão de fls. 3082/3084 e-SAJ tratou o item 2 como comando executório.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Dois gumes: TJSP AI 2181564-67.2026</w:t>
      </w:r>
      <w:r>
        <w:rPr>
          <w:rFonts w:ascii="Times New Roman" w:cs="Times New Roman" w:eastAsia="Times New Roman" w:hAnsi="Times New Roman"/>
          <w:b w:val="false"/>
          <w:bCs w:val="false"/>
          <w:i w:val="false"/>
          <w:iCs w:val="false"/>
        </w:rPr>
        <w:t xml:space="preserve"> (1ª CDP, Rel. Claudio Godoy, j. 17/09/2026, v.u.). </w:t>
      </w:r>
      <w:r>
        <w:rPr>
          <w:rFonts w:ascii="Times New Roman" w:cs="Times New Roman" w:eastAsia="Times New Roman" w:hAnsi="Times New Roman"/>
          <w:b/>
          <w:bCs/>
          <w:i w:val="false"/>
          <w:iCs w:val="false"/>
        </w:rPr>
        <w:t xml:space="preserve">A favor:</w:t>
      </w:r>
      <w:r>
        <w:rPr>
          <w:rFonts w:ascii="Times New Roman" w:cs="Times New Roman" w:eastAsia="Times New Roman" w:hAnsi="Times New Roman"/>
          <w:b w:val="false"/>
          <w:bCs w:val="false"/>
          <w:i w:val="false"/>
          <w:iCs w:val="false"/>
        </w:rPr>
        <w:t xml:space="preserve"> "o mero decurso do prazo (…) não acarreta a perda do direito da credora de demonstrar o valor correto da dívida, tampouco impõe a aceitação tácita e automática dos cálculos oferecidos pelo executado". Isso serve contra o pedido do executado de homologar os seus R$ 2.911.270,42. O acórdão também transcreve o AI 2217064-68.2024 (1ª CDP): "À falta de decisão exauriente sobre a matéria (…), descabe a homologação do cálculo oferecido". Lido a contrario, isso favorece os exequentes, porque aqui há decisão exauriente: a homologação de 1995 (fls. 203 e-SAJ / 152 física). </w:t>
      </w:r>
      <w:r>
        <w:rPr>
          <w:rFonts w:ascii="Times New Roman" w:cs="Times New Roman" w:eastAsia="Times New Roman" w:hAnsi="Times New Roman"/>
          <w:b/>
          <w:bCs/>
          <w:i w:val="false"/>
          <w:iCs w:val="false"/>
        </w:rPr>
        <w:t xml:space="preserve">Contra:</w:t>
      </w:r>
      <w:r>
        <w:rPr>
          <w:rFonts w:ascii="Times New Roman" w:cs="Times New Roman" w:eastAsia="Times New Roman" w:hAnsi="Times New Roman"/>
          <w:b w:val="false"/>
          <w:bCs w:val="false"/>
          <w:i w:val="false"/>
          <w:iCs w:val="false"/>
        </w:rPr>
        <w:t xml:space="preserve"> "a preclusão não alcança o Juízo, que pode, até mesmo de ofício, rever os cálculos do credor, de modo a adequá-los aos limites do título executivo" (com AgInt no AREsp 1.679.792/RS e AgInt no AREsp 2.082.313/DF, 🟨 só transcritos). O executado dirá que foi isso que o juiz fez em fls. 3066. </w:t>
      </w:r>
      <w:r>
        <w:rPr>
          <w:rFonts w:ascii="Times New Roman" w:cs="Times New Roman" w:eastAsia="Times New Roman" w:hAnsi="Times New Roman"/>
          <w:b/>
          <w:bCs/>
          <w:i w:val="false"/>
          <w:iCs w:val="false"/>
        </w:rPr>
        <w:t xml:space="preserve">Resposta:</w:t>
      </w:r>
      <w:r>
        <w:rPr>
          <w:rFonts w:ascii="Times New Roman" w:cs="Times New Roman" w:eastAsia="Times New Roman" w:hAnsi="Times New Roman"/>
          <w:b w:val="false"/>
          <w:bCs w:val="false"/>
          <w:i w:val="false"/>
          <w:iCs w:val="false"/>
        </w:rPr>
        <w:t xml:space="preserve"> o poder de adequar o cálculo ao título não autoriza refazer critério já fixado em decisão homologatória preclusa (EDcl/EREsp 1.229.406; AgInt no REsp 2.127.021). Lá não havia homologação anterior; aqui há.</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admitir a sequência de planilhas, explicar a "liberalidade" do Santander, e reduzir o pedido: reconhecer a base de 1995 </w:t>
      </w:r>
      <w:r>
        <w:rPr>
          <w:rFonts w:ascii="Times New Roman" w:cs="Times New Roman" w:eastAsia="Times New Roman" w:hAnsi="Times New Roman"/>
          <w:b/>
          <w:bCs/>
          <w:i w:val="false"/>
          <w:iCs w:val="false"/>
        </w:rPr>
        <w:t xml:space="preserve">como piso da liquidação</w:t>
      </w:r>
      <w:r>
        <w:rPr>
          <w:rFonts w:ascii="Times New Roman" w:cs="Times New Roman" w:eastAsia="Times New Roman" w:hAnsi="Times New Roman"/>
          <w:b w:val="false"/>
          <w:bCs w:val="false"/>
          <w:i w:val="false"/>
          <w:iCs w:val="false"/>
        </w:rPr>
        <w:t xml:space="preserve"> e remeter à perícia; abandonar a homologação dos R$ 185 milhões no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G — O QUE PODE SER FEITO AGORA</w:t>
      </w:r>
    </w:p>
    <w:p>
      <w:pPr>
        <w:pStyle w:val="Heading2"/>
        <w:keepNext/>
      </w:pPr>
      <w:r>
        <w:rPr>
          <w:rFonts w:ascii="Times New Roman" w:cs="Times New Roman" w:eastAsia="Times New Roman" w:hAnsi="Times New Roman"/>
        </w:rPr>
        <w:t xml:space="preserve">G1. Atos cabíveis (fase: concluso à Relatora desde 26/08/2026)</w:t>
      </w:r>
    </w:p>
    <w:p>
      <w:pPr>
        <w:spacing w:after="120" w:line="360"/>
        <w:jc w:val="both"/>
      </w:pPr>
      <w:r>
        <w:rPr>
          <w:rFonts w:ascii="Times New Roman" w:cs="Times New Roman" w:eastAsia="Times New Roman" w:hAnsi="Times New Roman"/>
          <w:b/>
          <w:bCs/>
          <w:i w:val="false"/>
          <w:iCs w:val="false"/>
        </w:rPr>
        <w:t xml:space="preserve">Mudança de regime normativo (v3).</w:t>
      </w:r>
      <w:r>
        <w:rPr>
          <w:rFonts w:ascii="Times New Roman" w:cs="Times New Roman" w:eastAsia="Times New Roman" w:hAnsi="Times New Roman"/>
          <w:b w:val="false"/>
          <w:bCs w:val="false"/>
          <w:i w:val="false"/>
          <w:iCs w:val="false"/>
        </w:rPr>
        <w:t xml:space="preserve"> 🟩 A Resolução TJSP 984/2025, publicada em 18/09/2025 e em vigor 30 dias depois, regula o julgamento eletrônico nos órgãos colegiados do TJSP (SAJ e eproc), em conformidade com a Resolução CNJ 591/2024. Ela revoga expressamente as Resoluções 549/2011, 772/2017 e 903/2023, ressalvados os julgamentos virtuais iniciados antes da vigência (notícia oficial do TJSP de 18/09/2025). O agravo foi distribuído em 27/07/2026, portanto </w:t>
      </w:r>
      <w:r>
        <w:rPr>
          <w:rFonts w:ascii="Times New Roman" w:cs="Times New Roman" w:eastAsia="Times New Roman" w:hAnsi="Times New Roman"/>
          <w:b/>
          <w:bCs/>
          <w:i w:val="false"/>
          <w:iCs w:val="false"/>
        </w:rPr>
        <w:t xml:space="preserve">rege-se pela Resolução 984/2025, e não pela 549/2011</w:t>
      </w:r>
      <w:r>
        <w:rPr>
          <w:rFonts w:ascii="Times New Roman" w:cs="Times New Roman" w:eastAsia="Times New Roman" w:hAnsi="Times New Roman"/>
          <w:b w:val="false"/>
          <w:bCs w:val="false"/>
          <w:i w:val="false"/>
          <w:iCs w:val="false"/>
        </w:rPr>
        <w:t xml:space="preserve">. O próprio EDcl 0114335-38.2025.8.26.9061 (5ª Turma Recursal Cível, j. 27/11/2025) já descreve a Resolução 549/2011 como "em vigor quando no momento do julgamento".</w:t>
      </w:r>
    </w:p>
    <w:p>
      <w:pPr>
        <w:spacing w:after="120" w:line="360"/>
        <w:jc w:val="both"/>
      </w:pPr>
      <w:r>
        <w:rPr>
          <w:rFonts w:ascii="Times New Roman" w:cs="Times New Roman" w:eastAsia="Times New Roman" w:hAnsi="Times New Roman"/>
          <w:b/>
          <w:bCs/>
          <w:i w:val="false"/>
          <w:iCs w:val="false"/>
        </w:rPr>
        <w:t xml:space="preserve">Consequência para a v2.</w:t>
      </w:r>
      <w:r>
        <w:rPr>
          <w:rFonts w:ascii="Times New Roman" w:cs="Times New Roman" w:eastAsia="Times New Roman" w:hAnsi="Times New Roman"/>
          <w:b w:val="false"/>
          <w:bCs w:val="false"/>
          <w:i w:val="false"/>
          <w:iCs w:val="false"/>
        </w:rPr>
        <w:t xml:space="preserve"> A afirmação da v2 de que o prazo de cinco dias úteis da publicação da distribuição "provavelmente já venceu" está superada. Esse prazo era da Resolução 549/2011, art. 1º, na redação da Resolução 903/2023, e não se aplica mais.</w:t>
      </w:r>
    </w:p>
    <w:p>
      <w:pPr>
        <w:spacing w:after="120" w:line="360"/>
        <w:jc w:val="both"/>
      </w:pPr>
      <w:r>
        <w:rPr>
          <w:rFonts w:ascii="Times New Roman" w:cs="Times New Roman" w:eastAsia="Times New Roman" w:hAnsi="Times New Roman"/>
          <w:b/>
          <w:bCs/>
          <w:i w:val="false"/>
          <w:iCs w:val="false"/>
        </w:rPr>
        <w:t xml:space="preserve">Regras atuais relevantes.</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bCs/>
          <w:i w:val="false"/>
          <w:iCs w:val="false"/>
        </w:rPr>
        <w:t xml:space="preserve">v4:</w:t>
      </w:r>
      <w:r>
        <w:rPr>
          <w:rFonts w:ascii="Times New Roman" w:cs="Times New Roman" w:eastAsia="Times New Roman" w:hAnsi="Times New Roman"/>
          <w:b w:val="false"/>
          <w:bCs w:val="false"/>
          <w:i w:val="false"/>
          <w:iCs w:val="false"/>
        </w:rPr>
        <w:t xml:space="preserve"> os prazos dos arts. 11 e 12 da Resolução 984/2025 estão confirmados em comunicado oficial do TJSP (Colégio Recursal, comunicado 74729): oposição "requerida até 48 (quarenta e oito) horas antes do início da sessão" (art. 11, I e II); sustentações enviadas "após a publicação da pauta e até 48 (quarenta e oito) horas antes de iniciado o julgamento em ambiente virtual" (art. 12). 🟨 O texto integral ainda não está na pasta: o arquivo "RESOLUÇÃO Nº 9842025.pdf" do Drive tem 0 byte e está vazio. Subir de novo.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Pauta.</w:t>
      </w:r>
      <w:r>
        <w:rPr>
          <w:rFonts w:ascii="Times New Roman" w:cs="Times New Roman" w:eastAsia="Times New Roman" w:hAnsi="Times New Roman"/>
          <w:b w:val="false"/>
          <w:bCs w:val="false"/>
          <w:i w:val="false"/>
          <w:iCs w:val="false"/>
        </w:rPr>
        <w:t xml:space="preserve"> A pauta é publicada no DJEN com antecedência mínima de cinco dias úteis do início da sessão eletrônica. A sessão é assíncrona e dura até seis dias úteis.</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Objeção das partes.</w:t>
      </w:r>
      <w:r>
        <w:rPr>
          <w:rFonts w:ascii="Times New Roman" w:cs="Times New Roman" w:eastAsia="Times New Roman" w:hAnsi="Times New Roman"/>
          <w:b w:val="false"/>
          <w:bCs w:val="false"/>
          <w:i w:val="false"/>
          <w:iCs w:val="false"/>
        </w:rPr>
        <w:t xml:space="preserve"> Qualquer das partes pode apresentar requerimento de objeção ao julgamento eletrônico </w:t>
      </w:r>
      <w:r>
        <w:rPr>
          <w:rFonts w:ascii="Times New Roman" w:cs="Times New Roman" w:eastAsia="Times New Roman" w:hAnsi="Times New Roman"/>
          <w:b/>
          <w:bCs/>
          <w:i w:val="false"/>
          <w:iCs w:val="false"/>
        </w:rPr>
        <w:t xml:space="preserve">até 48 horas antes do início da sessão</w:t>
      </w:r>
      <w:r>
        <w:rPr>
          <w:rFonts w:ascii="Times New Roman" w:cs="Times New Roman" w:eastAsia="Times New Roman" w:hAnsi="Times New Roman"/>
          <w:b w:val="false"/>
          <w:bCs w:val="false"/>
          <w:i w:val="false"/>
          <w:iCs w:val="false"/>
        </w:rPr>
        <w:t xml:space="preserve">. O relator analisa o pedido. Fonte 🟨: art. 11, I e II, segundo resumo de terceiro.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Destaque por magistrado.</w:t>
      </w:r>
      <w:r>
        <w:rPr>
          <w:rFonts w:ascii="Times New Roman" w:cs="Times New Roman" w:eastAsia="Times New Roman" w:hAnsi="Times New Roman"/>
          <w:b w:val="false"/>
          <w:bCs w:val="false"/>
          <w:i w:val="false"/>
          <w:iCs w:val="false"/>
        </w:rPr>
        <w:t xml:space="preserve"> Qualquer integrante do colegiado pode destacar o processo, que então é reiniciado em sessão presencial ou telepresencial.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Sustentação oral.</w:t>
      </w:r>
      <w:r>
        <w:rPr>
          <w:rFonts w:ascii="Times New Roman" w:cs="Times New Roman" w:eastAsia="Times New Roman" w:hAnsi="Times New Roman"/>
          <w:b w:val="false"/>
          <w:bCs w:val="false"/>
          <w:i w:val="false"/>
          <w:iCs w:val="false"/>
        </w:rPr>
        <w:t xml:space="preserve"> Quando cabível, é enviada em áudio ou vídeo no mesmo prazo de 48 horas.</w:t>
      </w:r>
    </w:p>
    <w:p>
      <w:pPr>
        <w:spacing w:after="120" w:line="360"/>
        <w:jc w:val="both"/>
      </w:pPr>
      <w:r>
        <w:rPr>
          <w:rFonts w:ascii="Times New Roman" w:cs="Times New Roman" w:eastAsia="Times New Roman" w:hAnsi="Times New Roman"/>
          <w:b/>
          <w:bCs/>
          <w:i w:val="false"/>
          <w:iCs w:val="false"/>
        </w:rPr>
        <w:t xml:space="preserve">Aplicação ao caso.</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Sustentação oral não cabe.</w:t>
      </w:r>
      <w:r>
        <w:rPr>
          <w:rFonts w:ascii="Times New Roman" w:cs="Times New Roman" w:eastAsia="Times New Roman" w:hAnsi="Times New Roman"/>
          <w:b w:val="false"/>
          <w:bCs w:val="false"/>
          <w:i w:val="false"/>
          <w:iCs w:val="false"/>
        </w:rPr>
        <w:t xml:space="preserve"> O agravo ataca decisão sobre cálculo, e não sobre tutela provisória. O art. 937, VIII, do CPC só admite sustentação em agravo de instrumento "interposto contra decisões interlocutórias que versem sobre tutelas provisórias de urgência ou da evidência". O RITJSP, art. 146, § 4º, tem a mesma restrição. 🟩 </w:t>
      </w:r>
      <w:r>
        <w:rPr>
          <w:rFonts w:ascii="Times New Roman" w:cs="Times New Roman" w:eastAsia="Times New Roman" w:hAnsi="Times New Roman"/>
          <w:b/>
          <w:bCs/>
          <w:i w:val="false"/>
          <w:iCs w:val="false"/>
        </w:rPr>
        <w:t xml:space="preserve">v4, texto oficial compilado no Drive:</w:t>
      </w:r>
      <w:r>
        <w:rPr>
          <w:rFonts w:ascii="Times New Roman" w:cs="Times New Roman" w:eastAsia="Times New Roman" w:hAnsi="Times New Roman"/>
          <w:b w:val="false"/>
          <w:bCs w:val="false"/>
          <w:i w:val="false"/>
          <w:iCs w:val="false"/>
        </w:rPr>
        <w:t xml:space="preserve"> "Ressalvada disposição legal em sentido contrário, não haverá sustentação oral nos julgamentos de embargos declaratórios, incidente de suspeição, conflito de competência, arquivamento de inquérito ou representação criminal, e agravo, exceto no de instrumento referente às tutelas provisórias de urgência ou da evidência, e no interno referente à extinção de feito originário prevista no art. 937, VI, do CPC." O § 4º-A trata só do agravo em execução penal (cinco minutos) e não cria outras hipóteses; a nota do ChatGPT sobre ele está imprecisa. O prazo de 24 horas do art. 146, II, vale para a inscrição em sessão presencial; na sessão virtual, prevalece o prazo de 48 horas da Resolução 984/2025.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Objeção ao julgamento eletrônico: possível, mas com baixa chance.</w:t>
      </w:r>
      <w:r>
        <w:rPr>
          <w:rFonts w:ascii="Times New Roman" w:cs="Times New Roman" w:eastAsia="Times New Roman" w:hAnsi="Times New Roman"/>
          <w:b w:val="false"/>
          <w:bCs w:val="false"/>
          <w:i w:val="false"/>
          <w:iCs w:val="false"/>
        </w:rPr>
        <w:t xml:space="preserve"> O prazo ainda está aberto enquanto a pauta não for publicada, e depois dela vai até 48 horas antes da sessão. Sem direito à sustentação, porém, o relator tende a indeferir. O STJ decidiu que não há direito de exigir sessão presencial e que o julgamento virtual, mesmo com oposição tempestiva, só é nulo com prejuízo concreto (REsp 1.995.565/SP, 3ª T., Rel. Min. Nancy Andrighi, j. 22/11/2022, DJe 24/11/2022; 🟩 v4: inteiro teor lido no Drive. O item 13 da ementa trata exatamente de agravo de instrumento "interposto contra decisão que não versa sobre tutela provisória (sem previsão, portanto, de sustentação oral)"). Se for apresentada, a objeção deve ser motivada pela utilidade concreta de uma sessão presencial, como o esclarecimento de fato sobre a numeração das folhas e a conta de 1995.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 instrumento principal continua sendo o memorial,</w:t>
      </w:r>
      <w:r>
        <w:rPr>
          <w:rFonts w:ascii="Times New Roman" w:cs="Times New Roman" w:eastAsia="Times New Roman" w:hAnsi="Times New Roman"/>
          <w:b w:val="false"/>
          <w:bCs w:val="false"/>
          <w:i w:val="false"/>
          <w:iCs w:val="false"/>
        </w:rPr>
        <w:t xml:space="preserve"> com despacho pessoal com a Relatora. É preciso acompanhar diariamente a publicação da pauta no DJEN, porque ela abre a janela de 48 horas.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0"/>
        <w:gridCol w:w="2681"/>
        <w:gridCol w:w="1698"/>
        <w:gridCol w:w="2682"/>
      </w:tblGrid>
      <w:tr>
        <w:trPr>
          <w:cantSplit/>
          <w:tblHeader/>
        </w:trPr>
        <w:tc>
          <w:tcPr>
            <w:tcW w:type="dxa" w:w="20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Ato</w:t>
            </w:r>
          </w:p>
        </w:tc>
        <w:tc>
          <w:tcPr>
            <w:tcW w:type="dxa" w:w="26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Fundamento</w:t>
            </w:r>
          </w:p>
        </w:tc>
        <w:tc>
          <w:tcPr>
            <w:tcW w:type="dxa" w:w="1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Prazo</w:t>
            </w:r>
          </w:p>
        </w:tc>
        <w:tc>
          <w:tcPr>
            <w:tcW w:type="dxa" w:w="26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Memoriais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forense; art. 5º, LV, CF</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Protocolar já, sem esperar a pauta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Juntada de documentos</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435 e parágrafo único; art. 437, § 1º (vista de 15 dias)</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Peças já existentes nos autos de origem (1419/1421, 1483, 2137/2139, 165, 169, 174/175) são "facultativas" (art. 1.017, II)</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Fato superveniente</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493</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planilha do executado de 20/08/2026 (fls. 3441/3459)</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Manifestação sobre documentos da contraminuta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437, § 1º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 da intimação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verificar se houve juntada</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Objeção ao julgamento eletrônico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TJSP 984/2025, art. 11 (🟨 texto oficial não obtido)</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até 48 horas antes do início da sessão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motivada; decidida pelo relator; indeferimento provável sem direito à sustentação</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Sustentação oral</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937, VIII, CPC; RITJSP, art. 146, § 4º</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neste agravo (EDcl 0114335; EDcl Ap. 0019853)</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Despacho com a Relatora</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7º, VIII, EOAB</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julgamento</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recomendado, levando os memoriais</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Embargos de declaração após o acórdão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1.022</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dias úteis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prequestionamento para REsp</w:t>
            </w:r>
          </w:p>
        </w:tc>
      </w:tr>
      <w:tr>
        <w:trPr>
          <w:cantSplit/>
          <w:tblHeader w:val="false"/>
        </w:trPr>
        <w:tc>
          <w:tcPr>
            <w:tcW w:type="dxa" w:w="20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Agravo interno</w:t>
            </w:r>
          </w:p>
        </w:tc>
        <w:tc>
          <w:tcPr>
            <w:tcW w:type="dxa" w:w="26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1.021</w:t>
            </w:r>
          </w:p>
        </w:tc>
        <w:tc>
          <w:tcPr>
            <w:tcW w:type="dxa" w:w="1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w:t>
            </w:r>
          </w:p>
        </w:tc>
        <w:tc>
          <w:tcPr>
            <w:tcW w:type="dxa" w:w="26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se houver decisão monocrática</w:t>
            </w:r>
          </w:p>
        </w:tc>
      </w:tr>
    </w:tbl>
    <w:p>
      <w:pPr>
        <w:spacing w:after="120"/>
      </w:pPr>
    </w:p>
    <w:p>
      <w:pPr>
        <w:pStyle w:val="Heading2"/>
        <w:keepNext/>
      </w:pPr>
      <w:r>
        <w:rPr>
          <w:rFonts w:ascii="Times New Roman" w:cs="Times New Roman" w:eastAsia="Times New Roman" w:hAnsi="Times New Roman"/>
        </w:rPr>
        <w:t xml:space="preserve">G2. Aditamento e inovação recursal</w:t>
      </w:r>
    </w:p>
    <w:p>
      <w:pPr>
        <w:spacing w:after="120" w:line="360"/>
        <w:jc w:val="both"/>
      </w:pPr>
      <w:r>
        <w:rPr>
          <w:rFonts w:ascii="Times New Roman" w:cs="Times New Roman" w:eastAsia="Times New Roman" w:hAnsi="Times New Roman"/>
          <w:b w:val="false"/>
          <w:bCs w:val="false"/>
          <w:i w:val="false"/>
          <w:iCs w:val="false"/>
        </w:rPr>
        <w:t xml:space="preserve">Aditar as razões do agravo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possível (preclusão consumativa, art. 1.017/1.003, § 5º). Classificação: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58"/>
        <w:gridCol w:w="4613"/>
      </w:tblGrid>
      <w:tr>
        <w:trPr>
          <w:cantSplit/>
          <w:tblHeader/>
        </w:trPr>
        <w:tc>
          <w:tcPr>
            <w:tcW w:type="dxa" w:w="44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Tópico</w:t>
            </w:r>
          </w:p>
        </w:tc>
        <w:tc>
          <w:tcPr>
            <w:tcW w:type="dxa" w:w="46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Inovação (vedada) ou reforço (permitido)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 A3 (base homologada; artigos corretos)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já está no agravo (IV.1, IV.1-A)</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decisão-surpresa)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reforço</w:t>
            </w:r>
            <w:r>
              <w:rPr>
                <w:rFonts w:ascii="Times New Roman" w:cs="Times New Roman" w:eastAsia="Times New Roman" w:hAnsi="Times New Roman"/>
                <w:b w:val="false"/>
                <w:bCs w:val="false"/>
                <w:i w:val="false"/>
                <w:iCs w:val="false"/>
                <w:sz w:val="19"/>
                <w:szCs w:val="19"/>
              </w:rPr>
              <w:t xml:space="preserve"> da causa de pedir "fls. 3066 não pode desconstituir homologação"; a qualificação jurídica nova (arts. 9º/10/1.022) é matéria de direito e pode ser suscitada, com risco moderado de a Câmara chamá-la de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(resposta ao art. 494, I e ao REsp 148.938)</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(efeito devolutivo do AI 2236642)</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(o agravo já cita o acórdão em III.8)</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 (honorários 20% pela sentença dos embargos)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2-A.1 do agravo; a </w:t>
            </w:r>
            <w:r>
              <w:rPr>
                <w:rFonts w:ascii="Times New Roman" w:cs="Times New Roman" w:eastAsia="Times New Roman" w:hAnsi="Times New Roman"/>
                <w:b/>
                <w:bCs/>
                <w:i w:val="false"/>
                <w:iCs w:val="false"/>
                <w:sz w:val="19"/>
                <w:szCs w:val="19"/>
              </w:rPr>
              <w:t xml:space="preserve">retificação</w:t>
            </w:r>
            <w:r>
              <w:rPr>
                <w:rFonts w:ascii="Times New Roman" w:cs="Times New Roman" w:eastAsia="Times New Roman" w:hAnsi="Times New Roman"/>
                <w:b w:val="false"/>
                <w:bCs w:val="false"/>
                <w:i w:val="false"/>
                <w:iCs w:val="false"/>
                <w:sz w:val="19"/>
                <w:szCs w:val="19"/>
              </w:rPr>
              <w:t xml:space="preserve"> de fls. 52 é dever de lealdade, não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(mora 1% a.a.)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trazer; só responder se suscitado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(cessão)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(IV.2 do agravo)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(art. 926)</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 (art. 1.000, p.u.)</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IV.1-B, que já trata do cumprimento de ordem</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(planilhas desde 1987)</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a defesa</w:t>
            </w:r>
            <w:r>
              <w:rPr>
                <w:rFonts w:ascii="Times New Roman" w:cs="Times New Roman" w:eastAsia="Times New Roman" w:hAnsi="Times New Roman"/>
                <w:b w:val="false"/>
                <w:bCs w:val="false"/>
                <w:i w:val="false"/>
                <w:iCs w:val="false"/>
                <w:sz w:val="19"/>
                <w:szCs w:val="19"/>
              </w:rPr>
              <w:t xml:space="preserve">; não é inovação, é contraditório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Desistência do pedido "f" (sobrestar leilão)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permitida a qualquer tempo (art. 998)</w:t>
            </w:r>
          </w:p>
        </w:tc>
      </w:tr>
    </w:tbl>
    <w:p>
      <w:pPr>
        <w:spacing w:after="120"/>
      </w:pPr>
    </w:p>
    <w:p>
      <w:pPr>
        <w:pStyle w:val="Heading2"/>
        <w:keepNext/>
      </w:pPr>
      <w:r>
        <w:rPr>
          <w:rFonts w:ascii="Times New Roman" w:cs="Times New Roman" w:eastAsia="Times New Roman" w:hAnsi="Times New Roman"/>
        </w:rPr>
        <w:t xml:space="preserve">G3. Contraminuta</w:t>
      </w:r>
    </w:p>
    <w:p>
      <w:pPr>
        <w:spacing w:after="120" w:line="360"/>
        <w:jc w:val="both"/>
      </w:pPr>
      <w:r>
        <w:rPr>
          <w:rFonts w:ascii="Times New Roman" w:cs="Times New Roman" w:eastAsia="Times New Roman" w:hAnsi="Times New Roman"/>
          <w:b w:val="false"/>
          <w:bCs w:val="false"/>
          <w:i w:val="false"/>
          <w:iCs w:val="false"/>
        </w:rPr>
        <w:t xml:space="preserve">🟨 Não está no Drive. Respostas preparadas para as preliminares prováveis:</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Deserção:</w:t>
      </w:r>
      <w:r>
        <w:rPr>
          <w:rFonts w:ascii="Times New Roman" w:cs="Times New Roman" w:eastAsia="Times New Roman" w:hAnsi="Times New Roman"/>
          <w:b w:val="false"/>
          <w:bCs w:val="false"/>
          <w:i w:val="false"/>
          <w:iCs w:val="false"/>
        </w:rPr>
        <w:t xml:space="preserve"> preparo recolhido em dobro em 28/07/2026 (duas guias, WPRO.26.01124604-4 e 01127671-7) dentro dos 5 dias do despacho de 27/07/2026; art. 1.007, § 4º cumprido; § 5º (vedação de nova complementação) não incide. Juntar as guias e pedir certidão.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Intempestividade / decisão reiterativa:</w:t>
      </w:r>
      <w:r>
        <w:rPr>
          <w:rFonts w:ascii="Times New Roman" w:cs="Times New Roman" w:eastAsia="Times New Roman" w:hAnsi="Times New Roman"/>
          <w:b w:val="false"/>
          <w:bCs w:val="false"/>
          <w:i w:val="false"/>
          <w:iCs w:val="false"/>
        </w:rPr>
        <w:t xml:space="preserve"> publicação em 07/07/2026 (DJe), feriado 09/07, prazo final 30/07; protocolo 24/07/2026. Quanto à "reiteração": fls. 3435/3437 tem três fundamentos novos (A2).</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Inadmissibilidade (art. 1.015):</w:t>
      </w:r>
      <w:r>
        <w:rPr>
          <w:rFonts w:ascii="Times New Roman" w:cs="Times New Roman" w:eastAsia="Times New Roman" w:hAnsi="Times New Roman"/>
          <w:b w:val="false"/>
          <w:bCs w:val="false"/>
          <w:i w:val="false"/>
          <w:iCs w:val="false"/>
        </w:rPr>
        <w:t xml:space="preserve"> execução, parágrafo único; cabível.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Ausência de peças (art. 1.017):</w:t>
      </w:r>
      <w:r>
        <w:rPr>
          <w:rFonts w:ascii="Times New Roman" w:cs="Times New Roman" w:eastAsia="Times New Roman" w:hAnsi="Times New Roman"/>
          <w:b w:val="false"/>
          <w:bCs w:val="false"/>
          <w:i w:val="false"/>
          <w:iCs w:val="false"/>
        </w:rPr>
        <w:t xml:space="preserve"> o agravo lista 12 peças, inclusive decisão, certidão de publicação e procurações; eventual falta de peça facultativa é sanável (art. 1.017, § 3º; art. 932, p.u.).</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Preclusão (fls. 3066 não agravada; fls. 3077 sem ressalva):</w:t>
      </w:r>
      <w:r>
        <w:rPr>
          <w:rFonts w:ascii="Times New Roman" w:cs="Times New Roman" w:eastAsia="Times New Roman" w:hAnsi="Times New Roman"/>
          <w:b w:val="false"/>
          <w:bCs w:val="false"/>
          <w:i w:val="false"/>
          <w:iCs w:val="false"/>
        </w:rPr>
        <w:t xml:space="preserve"> A2, A6, F1.</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H — LOCALIZAÇÕES</w:t>
      </w:r>
    </w:p>
    <w:p>
      <w:pPr>
        <w:pStyle w:val="Heading2"/>
        <w:keepNext/>
      </w:pPr>
      <w:r>
        <w:rPr>
          <w:rFonts w:ascii="Times New Roman" w:cs="Times New Roman" w:eastAsia="Times New Roman" w:hAnsi="Times New Roman"/>
        </w:rPr>
        <w:t xml:space="preserve">H1. "fls. 2195"</w:t>
      </w:r>
    </w:p>
    <w:p>
      <w:pPr>
        <w:spacing w:after="120" w:line="360"/>
        <w:jc w:val="both"/>
      </w:pPr>
      <w:r>
        <w:rPr>
          <w:rFonts w:ascii="Times New Roman" w:cs="Times New Roman" w:eastAsia="Times New Roman" w:hAnsi="Times New Roman"/>
          <w:b w:val="false"/>
          <w:bCs w:val="false"/>
          <w:i w:val="false"/>
          <w:iCs w:val="false"/>
        </w:rPr>
        <w:t xml:space="preserve">🟨 fls. 2195 e-SAJ = folha </w:t>
      </w:r>
      <w:r>
        <w:rPr>
          <w:rFonts w:ascii="Times New Roman" w:cs="Times New Roman" w:eastAsia="Times New Roman" w:hAnsi="Times New Roman"/>
          <w:b/>
          <w:bCs/>
          <w:i w:val="false"/>
          <w:iCs w:val="false"/>
        </w:rPr>
        <w:t xml:space="preserve">659 da Carta Precatória</w:t>
      </w:r>
      <w:r>
        <w:rPr>
          <w:rFonts w:ascii="Times New Roman" w:cs="Times New Roman" w:eastAsia="Times New Roman" w:hAnsi="Times New Roman"/>
          <w:b w:val="false"/>
          <w:bCs w:val="false"/>
          <w:i w:val="false"/>
          <w:iCs w:val="false"/>
        </w:rPr>
        <w:t xml:space="preserve"> 0001710-82.2007 (volume digitalizado pela Iron Mountain, liberado em 04/06/2024; imagem sem texto). O parecer Fred cita "fls. 2195" para a homologação; é provável que a CP contenha cópia da decisão de fls. 203, mas não conferi a imagem. Folha correta a citar: </w:t>
      </w:r>
      <w:r>
        <w:rPr>
          <w:rFonts w:ascii="Times New Roman" w:cs="Times New Roman" w:eastAsia="Times New Roman" w:hAnsi="Times New Roman"/>
          <w:b/>
          <w:bCs/>
          <w:i w:val="false"/>
          <w:iCs w:val="false"/>
        </w:rPr>
        <w:t xml:space="preserve">fls. 203 e-SAJ / 152 física</w:t>
      </w:r>
      <w:r>
        <w:rPr>
          <w:rFonts w:ascii="Times New Roman" w:cs="Times New Roman" w:eastAsia="Times New Roman" w:hAnsi="Times New Roman"/>
          <w:b w:val="false"/>
          <w:bCs w:val="false"/>
          <w:i w:val="false"/>
          <w:iCs w:val="false"/>
        </w:rPr>
        <w:t xml:space="preserve">.</w:t>
      </w:r>
    </w:p>
    <w:p>
      <w:pPr>
        <w:pStyle w:val="Heading2"/>
        <w:keepNext/>
      </w:pPr>
      <w:r>
        <w:rPr>
          <w:rFonts w:ascii="Times New Roman" w:cs="Times New Roman" w:eastAsia="Times New Roman" w:hAnsi="Times New Roman"/>
        </w:rPr>
        <w:t xml:space="preserve">H2. fls. 387/394 da Carta Precatória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é o AREsp 2.569.822/DF.</w:t>
      </w:r>
      <w:r>
        <w:rPr>
          <w:rFonts w:ascii="Times New Roman" w:cs="Times New Roman" w:eastAsia="Times New Roman" w:hAnsi="Times New Roman"/>
          <w:b w:val="false"/>
          <w:bCs w:val="false"/>
          <w:i w:val="false"/>
          <w:iCs w:val="false"/>
        </w:rPr>
        <w:t xml:space="preserve"> Este é caso do TJDFT (Perla Carolina de Olivio x Daniel de Morais Melo Pimenta; despesas condominiais), sem relação. O agravo em recurso especial do executado é o interposto no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(REsp inadmitido pela Presidência da Seção de Direito Privado em 05/05/2023, fls. 1757/1759 e-SAJ, Súmula 7). O número do AREsp no STJ não consta dos arquivos lidos. As fls. 387/394 da CP correspondem a e-SAJ </w:t>
      </w:r>
      <w:r>
        <w:rPr>
          <w:rFonts w:ascii="Times New Roman" w:cs="Times New Roman" w:eastAsia="Times New Roman" w:hAnsi="Times New Roman"/>
          <w:b/>
          <w:bCs/>
          <w:i w:val="false"/>
          <w:iCs w:val="false"/>
        </w:rPr>
        <w:t xml:space="preserve">≈ 1924/1931</w:t>
      </w:r>
      <w:r>
        <w:rPr>
          <w:rFonts w:ascii="Times New Roman" w:cs="Times New Roman" w:eastAsia="Times New Roman" w:hAnsi="Times New Roman"/>
          <w:b w:val="false"/>
          <w:bCs w:val="false"/>
          <w:i w:val="false"/>
          <w:iCs w:val="false"/>
        </w:rPr>
        <w:t xml:space="preserve"> (CP 394 = e-SAJ 1931, confirmado); não li 1924/1930.</w:t>
      </w:r>
    </w:p>
    <w:p>
      <w:pPr>
        <w:pStyle w:val="Heading2"/>
        <w:keepNext/>
      </w:pPr>
      <w:r>
        <w:rPr>
          <w:rFonts w:ascii="Times New Roman" w:cs="Times New Roman" w:eastAsia="Times New Roman" w:hAnsi="Times New Roman"/>
        </w:rPr>
        <w:t xml:space="preserve">H3. fls. 651 e-SAJ</w:t>
      </w:r>
    </w:p>
    <w:p>
      <w:pPr>
        <w:spacing w:after="120" w:line="360"/>
        <w:jc w:val="both"/>
      </w:pPr>
      <w:r>
        <w:rPr>
          <w:rFonts w:ascii="Times New Roman" w:cs="Times New Roman" w:eastAsia="Times New Roman" w:hAnsi="Times New Roman"/>
          <w:b w:val="false"/>
          <w:bCs w:val="false"/>
          <w:i w:val="false"/>
          <w:iCs w:val="false"/>
        </w:rPr>
        <w:t xml:space="preserve">🟨 Citada na decisão de 16/05/2012 ("O crédito executado seria de R$ 1.140.030,51 (fls. 651)"). É a planilha de dez/2011 juntada pelos cessionários (petição de 19/12/2011 também na CP, fls. 2583 e-SAJ / 480 física). A folha 651 dos autos principais não foi aberta; física provável ≈ 531/533 (pela diferença de 118-120 nessa região: 655→537). 🟨</w:t>
      </w:r>
    </w:p>
    <w:p>
      <w:pPr>
        <w:pStyle w:val="Heading2"/>
        <w:keepNext/>
      </w:pPr>
      <w:r>
        <w:rPr>
          <w:rFonts w:ascii="Times New Roman" w:cs="Times New Roman" w:eastAsia="Times New Roman" w:hAnsi="Times New Roman"/>
        </w:rPr>
        <w:t xml:space="preserve">H4. Tabela de correspondência (conferida por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2433"/>
        <w:gridCol w:w="3320"/>
      </w:tblGrid>
      <w:tr>
        <w:trPr>
          <w:cantSplit/>
          <w:tblHeader/>
        </w:trPr>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e-SAJ</w:t>
            </w:r>
          </w:p>
        </w:tc>
        <w:tc>
          <w:tcPr>
            <w:tcW w:type="dxa" w:w="24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Física</w:t>
            </w:r>
          </w:p>
        </w:tc>
        <w:tc>
          <w:tcPr>
            <w:tcW w:type="dxa" w:w="33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(não conferi a 1ª página; a numeração do prompt é coerente com 31→06)</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pedido e valor da causa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(verso/registro)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no CRI, 13/05/1987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cite-se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46? (carimbo parcialmente legível)</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mandado, 08/04/1988</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 / 122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79 / 81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laudo de avaliação (Maria Angélica Carbonieri)</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(06/02/1995)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174 / 175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129 / 130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impugnação Banespa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132 (rubrica)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Banespa 02/03/1995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"133" (divergente do "131" citado no agravo)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informação do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a 183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134 a 137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185/186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138/139 (🟨 não aberta)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habilitação Bradesco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nada opõe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(verso de 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certidões</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655 a 660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cessão (31/03/2010)</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661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reconhecimentos de firma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786 / 787 / 788 / 790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657 / 658 / 659 / 660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decisões de 26/04 e 16/05/2012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 → 1057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27/04/2017 (o carimbo físico é 913; e-SAJ 1057)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1671 a 1676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 (cópia)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(cópia juntada em 2022)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1931 a 1934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394 a 397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do AI 2236655; decisão 14/03/2024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1944 a 1951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407 a 414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19/04/2024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 a 2139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600 a 602 / 148 a 150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12/09/2007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 / 2403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865 / 866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10/07/2009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2572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1035</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22/08/2011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1046 / 480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19/12/2011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1348</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out/2019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 a 3044; 3064 a 3066; 3077/3078; 3082/3084; 3345 a 3351; 3394 a 3403; 3407 a 3419; 3435 a 3437; 3441 a 3459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(digitais)</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Acréscimos da v2 (conferidos por imagem em fls. 55 a 173):</w:t>
      </w:r>
      <w:r>
        <w:rPr>
          <w:rFonts w:ascii="Times New Roman" w:cs="Times New Roman" w:eastAsia="Times New Roman" w:hAnsi="Times New Roman"/>
          <w:b w:val="false"/>
          <w:bCs w:val="false"/>
          <w:i w:val="false"/>
          <w:iCs w:val="false"/>
        </w:rPr>
        <w:t xml:space="preserve"> 55→24 (inf.); 56→25 (auto de penhora, 16/11/1987); 58→26; 59→27; 60→28; 61→29; 62→30; 64→32; 65→33; 66→34; 67→35; 69→36 (certidão de apensamento dos embargos, 14/04/1988); 70→37; 71→38; 72→39; 73→40; 74→41 (mandado a Leonel, 14/10/1988); 76→42; 77→42v (suspensão dos embargos, 18/01/1989); 79→44; 81→46; 83→48; 84→49; 85/87→50/52 (sentença da consignatória, 05/09/1989); 88→53; 89/90→53v/54 ("Prossiga-se com os embargos", 09/03/1990); 91→55 (nomeação da perita, 29/12/1993); 93→56; 96→58; 97→58v; 99→60; 101→62; 103→64; 105/134→66/93 (laudo, 31/05/1994, CR$ 1.156.030.000,00); 160→119; 162→120; 163→121; 164→121v (remessa ao contador, 23/06/1994); 165/168→122/125 (1ª conta); 169→126; 171→127; 172→128; 173→128v. Diferença e-SAJ − física nesse trecho: 31 até fls. 60; 33 a partir de fls. 69; 43 a partir de fls. 165. Folha 111 e-SAJ é estranha ao processo (despacho de 12/11/2012 do Serviço Anexo das Fazendas, proc. 6.664/2006, intercalado no laudo).</w:t>
      </w:r>
    </w:p>
    <w:p>
      <w:pPr>
        <w:pStyle w:val="Heading2"/>
        <w:keepNext/>
      </w:pPr>
      <w:r>
        <w:rPr>
          <w:rFonts w:ascii="Times New Roman" w:cs="Times New Roman" w:eastAsia="Times New Roman" w:hAnsi="Times New Roman"/>
        </w:rPr>
        <w:t xml:space="preserve">H5. Embargos 0015252-76.2006</w:t>
      </w:r>
    </w:p>
    <w:p>
      <w:pPr>
        <w:spacing w:after="120" w:line="360"/>
        <w:jc w:val="both"/>
      </w:pPr>
      <w:r>
        <w:rPr>
          <w:rFonts w:ascii="Times New Roman" w:cs="Times New Roman" w:eastAsia="Times New Roman" w:hAnsi="Times New Roman"/>
          <w:b w:val="false"/>
          <w:bCs w:val="false"/>
          <w:i w:val="false"/>
          <w:iCs w:val="false"/>
        </w:rPr>
        <w:t xml:space="preserve">🟨 Dentro da execução, o que remete aos embargos: fls. 69 e-SAJ / 36 física (certidão de apensamento, 14/04/1988); fls. 74 / 41 (mandado com despacho de 28/09/1988 proferido nos embargos, "fls. 24 dos embargos"); fls. 77 / 42v (suspensão, 18/01/1989); fls. 89/90 / 53v/54 ("Prossiga-se com os embargos em apenso", 09/03/1990); fls. 23 e-SAJ (certidão de 26/04/2024 sobre digitalização de peças "fls. 54 (atual fls.60), fls. 62 (atual fls. 69) e fls. 63 (atual fls. 70) do processo número 0015252-76.2006"); fls. 1419/1421 (executado); fls. 1483 (exequentes: sentença 03/05/1991, fls. 32/47, trânsito fls. 85 dos autos digitalizados); fls. 2137/2139 (Santander, 2007, "cópias autenticadas da sentença e acórdão anexa" — cópias provavelmente em fls. 2140/2160 e-SAJ, imagens não lidas); fls. 3038 ("Houve oposição de embargos do devedor (…) que foi julgado"). Os dois PDFs dos embargos no Drive são apenas extratos de andamento (entrada 13/04/1988; apensamento 15/03/2013; arquivamento 06/12/2019; digitalização 31/01/2024; arquivamento definitivo 30/04/2024; eliminação do papel 05/02/2026). </w:t>
      </w:r>
      <w:r>
        <w:rPr>
          <w:rFonts w:ascii="Times New Roman" w:cs="Times New Roman" w:eastAsia="Times New Roman" w:hAnsi="Times New Roman"/>
          <w:b/>
          <w:bCs/>
          <w:i w:val="false"/>
          <w:iCs w:val="false"/>
        </w:rPr>
        <w:t xml:space="preserve">A sentença e o acórdão não estão em nenhum arquivo recebido.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I — CONFERÊNCIA DA AUDITORIA DO GEMINI 1.5 PRO (27/09/2026, 18:04:50)</w:t>
      </w:r>
    </w:p>
    <w:p>
      <w:pPr>
        <w:spacing w:after="120" w:line="360"/>
        <w:jc w:val="both"/>
      </w:pPr>
      <w:r>
        <w:rPr>
          <w:rFonts w:ascii="Times New Roman" w:cs="Times New Roman" w:eastAsia="Times New Roman" w:hAnsi="Times New Roman"/>
          <w:b/>
          <w:bCs/>
          <w:i w:val="false"/>
          <w:iCs w:val="false"/>
        </w:rPr>
        <w:t xml:space="preserve">Conclusão geral:</w:t>
      </w:r>
      <w:r>
        <w:rPr>
          <w:rFonts w:ascii="Times New Roman" w:cs="Times New Roman" w:eastAsia="Times New Roman" w:hAnsi="Times New Roman"/>
          <w:b w:val="false"/>
          <w:bCs w:val="false"/>
          <w:i w:val="false"/>
          <w:iCs w:val="false"/>
        </w:rPr>
        <w:t xml:space="preserve"> 🟥 a auditoria do Gemini </w:t>
      </w:r>
      <w:r>
        <w:rPr>
          <w:rFonts w:ascii="Times New Roman" w:cs="Times New Roman" w:eastAsia="Times New Roman" w:hAnsi="Times New Roman"/>
          <w:b/>
          <w:bCs/>
          <w:i w:val="false"/>
          <w:iCs w:val="false"/>
        </w:rPr>
        <w:t xml:space="preserve">não deve ser usada como base dos memoriais</w:t>
      </w:r>
      <w:r>
        <w:rPr>
          <w:rFonts w:ascii="Times New Roman" w:cs="Times New Roman" w:eastAsia="Times New Roman" w:hAnsi="Times New Roman"/>
          <w:b w:val="false"/>
          <w:bCs w:val="false"/>
          <w:i w:val="false"/>
          <w:iCs w:val="false"/>
        </w:rPr>
        <w:t xml:space="preserve">. Ela acerta a estrutura e vários números da conta de 1995, mas tem cinco erros graves que expõem os exequentes. (1) Declara "Tenho todos os documentos" e "3.840 de 3.840 páginas lidas", o que é falso: faltam a contraminuta, a sentença dos embargos e a fls. 3404. (2) Apresenta como favorável o REsp 1.538.235/DF, que afasta a preclusão da conta homologada pelo contador. (3) Atribui à fls. 3065 uma "certidão" de que os 20% não foram impugnados, quando a folha diz o contrário. (4) Omite totalmente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 e das planilhas desde 1987. (5) Recomenda sustentação oral e pedido principal de R$ 185 milhões.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46"/>
        <w:gridCol w:w="3628"/>
        <w:gridCol w:w="3628"/>
        <w:gridCol w:w="969"/>
      </w:tblGrid>
      <w:tr>
        <w:trPr>
          <w:cantSplit/>
          <w:tblHeader/>
        </w:trPr>
        <w:tc>
          <w:tcPr>
            <w:tcW w:type="dxa" w:w="84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Item do Gemini</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Afirmação</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Conferência nos autos e na pasta</w:t>
            </w:r>
          </w:p>
        </w:tc>
        <w:tc>
          <w:tcPr>
            <w:tcW w:type="dxa" w:w="9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Cabeçalho</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"Tenho todos os documentos"; "3.840 de 3.840 páginas"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Contraminuta, sentença e acórdão dos embargos e fls. 3404 não estão em nenhum arquivo. O próprio Gemini não cita nenhuma dessas peças.</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"R$ 4.232.889,00"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documento diz </w:t>
            </w:r>
            <w:r>
              <w:rPr>
                <w:rFonts w:ascii="Times New Roman" w:cs="Times New Roman" w:eastAsia="Times New Roman" w:hAnsi="Times New Roman"/>
                <w:b/>
                <w:bCs/>
                <w:i w:val="false"/>
                <w:iCs w:val="false"/>
                <w:sz w:val="19"/>
                <w:szCs w:val="19"/>
              </w:rPr>
              <w:t xml:space="preserve">R$ 4.232.859,19</w:t>
            </w:r>
            <w:r>
              <w:rPr>
                <w:rFonts w:ascii="Times New Roman" w:cs="Times New Roman" w:eastAsia="Times New Roman" w:hAnsi="Times New Roman"/>
                <w:b w:val="false"/>
                <w:bCs w:val="false"/>
                <w:i w:val="false"/>
                <w:iCs w:val="false"/>
                <w:sz w:val="19"/>
                <w:szCs w:val="19"/>
              </w:rPr>
              <w:t xml:space="preserve"> (fls. 177 e-SAJ / 132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número errado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R$ 6.975.016,65 = saldo + multa R$ 525.673,39 + honorários 20% R$ 1.156.481,45 + custas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180 e-SAJ / 134 física). Custas R$ 35.444,45 e despesas R$ 683,51.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errou "ao calcular juros de forma simples"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demonstrado. A 1ª conta (fls. 165 e-SAJ / 122 física) foi impugnada pelo Banespa por outros critérios (fls. 174/175 e-SAJ / 129/130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 para título extrajudicial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dispositivo trata de liquidação de sentença. Aqui é execução de título extrajudicial com conta de 1995 (CPC/73, art. 604). Serve só por analogia.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e TJSP "pacificaram" o tema; REsp 1.538.235/DF é favorável</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REsp 1.538.235/DF</w:t>
            </w:r>
            <w:r>
              <w:rPr>
                <w:rFonts w:ascii="Times New Roman" w:cs="Times New Roman" w:eastAsia="Times New Roman" w:hAnsi="Times New Roman"/>
                <w:b w:val="false"/>
                <w:bCs w:val="false"/>
                <w:i w:val="false"/>
                <w:iCs w:val="false"/>
                <w:sz w:val="19"/>
                <w:szCs w:val="19"/>
              </w:rPr>
              <w:t xml:space="preserve"> (3ª T., Rel. Min. Nancy Andrighi, j. 14/05/2019, DJe 29/05/2019), lido na íntegra no Drive: "HOMOLOGAÇÃO DOS CÁLCULOS POR CONTADOR JUDICIAL (…) PRECLUSÃO AFASTADA". A homologação do contador antes da penhora "não é ato judicial hábil a definir, necessariamente, o valor da execução". É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Ver a distinção abaixo.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 limitou a exceção à "tese única"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3345/3351 e-SAJ).</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"Nenhuma decisão (…) desconstituiu"; "exequentes jamais deixaram de recorrer"; decisão de "fls. 786/790 e-SAJ / 657/660 física (16/05/2012)"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exequentes </w:t>
            </w:r>
            <w:r>
              <w:rPr>
                <w:rFonts w:ascii="Times New Roman" w:cs="Times New Roman" w:eastAsia="Times New Roman" w:hAnsi="Times New Roman"/>
                <w:b/>
                <w:bCs/>
                <w:i w:val="false"/>
                <w:iCs w:val="false"/>
                <w:sz w:val="19"/>
                <w:szCs w:val="19"/>
              </w:rPr>
              <w:t xml:space="preserve">não agravaram</w:t>
            </w:r>
            <w:r>
              <w:rPr>
                <w:rFonts w:ascii="Times New Roman" w:cs="Times New Roman" w:eastAsia="Times New Roman" w:hAnsi="Times New Roman"/>
                <w:b w:val="false"/>
                <w:bCs w:val="false"/>
                <w:i w:val="false"/>
                <w:iCs w:val="false"/>
                <w:sz w:val="19"/>
                <w:szCs w:val="19"/>
              </w:rPr>
              <w:t xml:space="preserve"> de fls. 3064/3066 e apresentaram a planilha de fls. 3077/3078 sem ressalva. A cessão está em fls. 655/660 e-SAJ / 537/542 física. A correspondência "786/790 = 657/660" não existe.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diz "</w:t>
            </w:r>
            <w:r>
              <w:rPr>
                <w:rFonts w:ascii="Times New Roman" w:cs="Times New Roman" w:eastAsia="Times New Roman" w:hAnsi="Times New Roman"/>
                <w:b/>
                <w:bCs/>
                <w:i w:val="false"/>
                <w:iCs w:val="false"/>
                <w:sz w:val="19"/>
                <w:szCs w:val="19"/>
              </w:rPr>
              <w:t xml:space="preserve">10%</w:t>
            </w:r>
            <w:r>
              <w:rPr>
                <w:rFonts w:ascii="Times New Roman" w:cs="Times New Roman" w:eastAsia="Times New Roman" w:hAnsi="Times New Roman"/>
                <w:b w:val="false"/>
                <w:bCs w:val="false"/>
                <w:i w:val="false"/>
                <w:iCs w:val="false"/>
                <w:sz w:val="19"/>
                <w:szCs w:val="19"/>
              </w:rPr>
              <w:t xml:space="preserve">" 🟩</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algarismo é ilegível na imagem. O Gemini </w:t>
            </w:r>
            <w:r>
              <w:rPr>
                <w:rFonts w:ascii="Times New Roman" w:cs="Times New Roman" w:eastAsia="Times New Roman" w:hAnsi="Times New Roman"/>
                <w:b/>
                <w:bCs/>
                <w:i w:val="false"/>
                <w:iCs w:val="false"/>
                <w:sz w:val="19"/>
                <w:szCs w:val="19"/>
              </w:rPr>
              <w:t xml:space="preserve">omite</w:t>
            </w:r>
            <w:r>
              <w:rPr>
                <w:rFonts w:ascii="Times New Roman" w:cs="Times New Roman" w:eastAsia="Times New Roman" w:hAnsi="Times New Roman"/>
                <w:b w:val="false"/>
                <w:bCs w:val="false"/>
                <w:i w:val="false"/>
                <w:iCs w:val="false"/>
                <w:sz w:val="19"/>
                <w:szCs w:val="19"/>
              </w:rPr>
              <w:t xml:space="preserve"> que a fixação era condicional ("em caso de pagamento ou de não apresentação de embargos"), o que é o dado decisivo. Ver B1.</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em "fls. 40 / 12"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cláusula 5 está em fls. 39 e-SAJ / 12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3065 "atesta que honorários de 20% NÃO foram impugnados"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Fls. 3065 diz o oposto: o executado alegou "cobrança indevida de honorários sucumbenciais não incluídos na cessão", e o juiz não conheceu porque era "matéria nova". Não há atestado de ausência de impugnação. Usar isso nos memoriais seria afirmação falsa (art. 80, II).</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 sobre saldo + multa = R$ 1.156.481,45; fls. 202 = concordância do Banespa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C1/C2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1% a.m. amparada pelo DL 413/69 e pela Súmula 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Omite o ponto fraco: o DL 413/69, art. 5º, parágrafo único, limita a elevação por mora a 1% </w:t>
            </w:r>
            <w:r>
              <w:rPr>
                <w:rFonts w:ascii="Times New Roman" w:cs="Times New Roman" w:eastAsia="Times New Roman" w:hAnsi="Times New Roman"/>
                <w:b/>
                <w:bCs/>
                <w:i w:val="false"/>
                <w:iCs w:val="false"/>
                <w:sz w:val="19"/>
                <w:szCs w:val="19"/>
              </w:rPr>
              <w:t xml:space="preserve">ao ano</w:t>
            </w:r>
            <w:r>
              <w:rPr>
                <w:rFonts w:ascii="Times New Roman" w:cs="Times New Roman" w:eastAsia="Times New Roman" w:hAnsi="Times New Roman"/>
                <w:b w:val="false"/>
                <w:bCs w:val="false"/>
                <w:i w:val="false"/>
                <w:iCs w:val="false"/>
                <w:sz w:val="19"/>
                <w:szCs w:val="19"/>
              </w:rPr>
              <w:t xml:space="preserve">. Defesa correta: critério coberto pela preclusão, e não erro material.</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em "fls. 580/586 / 537/543"; "cessão de 2010 a pessoas físicas" pelo REsp 1.984.424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Folhas corretas: 655/660 e-SAJ / 537/542 física (31/03/2010). O REsp 1.984.424 trata de Cédula de Crédito Bancário e deve ser usado por analogia (art. 893 CC; Tema 361/STF).</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principal = homologar R$ 185 milhões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Contraria o F2 e o C5 desta auditoria. Pedido de valor no agravo configura supressão de instância (AI 2236642) e expõe o credor ao </w:t>
            </w: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como "substituto" do 1.861.550</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A4: é contrário.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Relatora chamou o executado de "devedor contumaz"</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expressão é da decisão de Chavantes de 14/03/2024 (fls. 1932 e-SAJ), e não do acórdão. Atribuí-la à Relatora é erro de citação.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1.000, p.u., e REsp 2.018.575</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mas o Gemini não enfrenta o fato de que os exequentes não agravaram de fls. 3066 nem as planilhas desde 1987.</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incompleto</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"Oposição ao julgamento virtual (…) para sustentação oral (art. 937, VIII)"</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Sustentação oral </w:t>
            </w:r>
            <w:r>
              <w:rPr>
                <w:rFonts w:ascii="Times New Roman" w:cs="Times New Roman" w:eastAsia="Times New Roman" w:hAnsi="Times New Roman"/>
                <w:b/>
                <w:bCs/>
                <w:i w:val="false"/>
                <w:iCs w:val="false"/>
                <w:sz w:val="19"/>
                <w:szCs w:val="19"/>
              </w:rPr>
              <w:t xml:space="preserve">não cabe</w:t>
            </w:r>
            <w:r>
              <w:rPr>
                <w:rFonts w:ascii="Times New Roman" w:cs="Times New Roman" w:eastAsia="Times New Roman" w:hAnsi="Times New Roman"/>
                <w:b w:val="false"/>
                <w:bCs w:val="false"/>
                <w:i w:val="false"/>
                <w:iCs w:val="false"/>
                <w:sz w:val="19"/>
                <w:szCs w:val="19"/>
              </w:rPr>
              <w:t xml:space="preserve"> (o agravo não versa sobre tutela provisória). A Resolução citável agora é a 984/2025.</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Memoriais "com pedido de juntada (arts. 435 e 493)"</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quanto ao fundamento.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inicial "Pág. 27 / Fl. 02"</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Compatível: a inicial começa em fls. 27 e-SAJ, e o pedido de honorários está em fls. 31 e-SAJ / 06 física.</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Rejeitando Exceção (Multa 9%)" fls. 3038/3044</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decisão de fls. 3038/3044 rejeita a exceção. O rótulo "Multa 9%" não foi localizado.</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8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Riscos</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lógica (fl. 3078): probabilidade </w:t>
            </w:r>
            <w:r>
              <w:rPr>
                <w:rFonts w:ascii="Times New Roman" w:cs="Times New Roman" w:eastAsia="Times New Roman" w:hAnsi="Times New Roman"/>
                <w:b/>
                <w:bCs/>
                <w:i w:val="false"/>
                <w:iCs w:val="false"/>
                <w:sz w:val="19"/>
                <w:szCs w:val="19"/>
              </w:rPr>
              <w:t xml:space="preserve">baixa</w:t>
            </w:r>
            <w:r>
              <w:rPr>
                <w:rFonts w:ascii="Times New Roman" w:cs="Times New Roman" w:eastAsia="Times New Roman" w:hAnsi="Times New Roman"/>
                <w:b w:val="false"/>
                <w:bCs w:val="false"/>
                <w:i w:val="false"/>
                <w:iCs w:val="false"/>
                <w:sz w:val="19"/>
                <w:szCs w:val="19"/>
              </w:rPr>
              <w:t xml:space="preserve">"; honorários "baixa"</w:t>
            </w:r>
          </w:p>
        </w:tc>
        <w:tc>
          <w:tcPr>
            <w:tcW w:type="dxa" w:w="36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Subestimados. Esta auditoria classifica a preclusão contra os exequentes como risco </w:t>
            </w:r>
            <w:r>
              <w:rPr>
                <w:rFonts w:ascii="Times New Roman" w:cs="Times New Roman" w:eastAsia="Times New Roman" w:hAnsi="Times New Roman"/>
                <w:b/>
                <w:bCs/>
                <w:i w:val="false"/>
                <w:iCs w:val="false"/>
                <w:sz w:val="19"/>
                <w:szCs w:val="19"/>
              </w:rPr>
              <w:t xml:space="preserve">alto</w:t>
            </w:r>
            <w:r>
              <w:rPr>
                <w:rFonts w:ascii="Times New Roman" w:cs="Times New Roman" w:eastAsia="Times New Roman" w:hAnsi="Times New Roman"/>
                <w:b w:val="false"/>
                <w:bCs w:val="false"/>
                <w:i w:val="false"/>
                <w:iCs w:val="false"/>
                <w:sz w:val="19"/>
                <w:szCs w:val="19"/>
              </w:rPr>
              <w:t xml:space="preserve">.</w:t>
            </w:r>
          </w:p>
        </w:tc>
        <w:tc>
          <w:tcPr>
            <w:tcW w:type="dxa" w:w="9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Conferência das transcrições enviadas em 28/09/2026 (v4).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34"/>
        <w:gridCol w:w="2734"/>
        <w:gridCol w:w="2734"/>
        <w:gridCol w:w="869"/>
      </w:tblGrid>
      <w:tr>
        <w:trPr>
          <w:cantSplit/>
          <w:tblHeader/>
        </w:trPr>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trouxe</w:t>
            </w:r>
          </w:p>
        </w:tc>
        <w:tc>
          <w:tcPr>
            <w:tcW w:type="dxa" w:w="2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Conferência</w:t>
            </w:r>
          </w:p>
        </w:tc>
        <w:tc>
          <w:tcPr>
            <w:tcW w:type="dxa" w:w="86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4 (fls. 1500/1505 e-SAJ)</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Exceção de pré-executividade de 01/07/2024, protocolada em 13/08/2024 (Dr. Carlos Artur Zanoni)</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legível e coerente. A tese é que cessionários pessoas físicas não cobram encargos bancários e que o débito deve ser Cz$ 1.210.000,00 com Tabela TJSP e juros de 1% a.m. simples. </w:t>
            </w:r>
            <w:r>
              <w:rPr>
                <w:rFonts w:ascii="Times New Roman" w:cs="Times New Roman" w:eastAsia="Times New Roman" w:hAnsi="Times New Roman"/>
                <w:b/>
                <w:bCs/>
                <w:i w:val="false"/>
                <w:iCs w:val="false"/>
                <w:sz w:val="19"/>
                <w:szCs w:val="19"/>
              </w:rPr>
              <w:t xml:space="preserve">Não</w:t>
            </w:r>
            <w:r>
              <w:rPr>
                <w:rFonts w:ascii="Times New Roman" w:cs="Times New Roman" w:eastAsia="Times New Roman" w:hAnsi="Times New Roman"/>
                <w:b w:val="false"/>
                <w:bCs w:val="false"/>
                <w:i w:val="false"/>
                <w:iCs w:val="false"/>
                <w:sz w:val="19"/>
                <w:szCs w:val="19"/>
              </w:rPr>
              <w:t xml:space="preserve"> ataca a conta de 1995 nem alega anatocismo, o que confirma a "única tese" do AI 2236642. Peça nascida digital, sem folha física.</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5 (fls. 1924/1931 e-SAJ / CP 387/394)</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Caracteres corrompidos (fonte embutida). Inutilizável.</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6 (fls. 2140/2160 e-SAJ)</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 com aviso de baixa qualidade</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Apontou corretamente as páginas do acórdão e do início da sentença. O texto foi refeito em imagem (Bloco J).</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útil como índice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Claude Haiku 4.5, conjunto 7 (fls. 3404)</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Transcrição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com a imagem.</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arquivo consolidado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OCR bruto de fls. 185/186, 651, 655/673, 771/785, 1500/1505, 1924/1931, 2140/2184 e 3404/3406</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Chama de "página física" a página do PDF, o que viola a regra de dupla numeração. Exemplo: "Página física 600 / fl. e-SAJ 1500" é a página 60 do arquivo "1441-1520", e não folha física. Útil como fonte de texto. Não traz análise jurídica.</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nota sobre RITJSP</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4º-A: hipóteses em que não cabe sustentação"</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Errado: o § 4º-A trata do agravo em execução penal. As hipóteses estão no § 4º.</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ChatGPT, nota sobre Resolução 984/2025</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Arts. 11, 12 e 19; 48 horas; revogação da 549/2011</w:t>
            </w:r>
          </w:p>
        </w:tc>
        <w:tc>
          <w:tcPr>
            <w:tcW w:type="dxa" w:w="2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Compatível com o comunicado oficial do TJSP. O arquivo que o ChatGPT gerou não chegou: o PDF no Drive está vazio.</w:t>
            </w:r>
          </w:p>
        </w:tc>
        <w:tc>
          <w:tcPr>
            <w:tcW w:type="dxa" w:w="86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360"/>
        <w:jc w:val="both"/>
      </w:pPr>
      <w:r>
        <w:rPr>
          <w:rFonts w:ascii="Times New Roman" w:cs="Times New Roman" w:eastAsia="Times New Roman" w:hAnsi="Times New Roman"/>
          <w:b/>
          <w:bCs/>
          <w:i w:val="false"/>
          <w:iCs w:val="false"/>
        </w:rPr>
        <w:t xml:space="preserve">Folhas antes pendentes, agora lidas por transcrição (v4).</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651 e-SAJ / fls. 533 física (provável):</w:t>
      </w:r>
      <w:r>
        <w:rPr>
          <w:rFonts w:ascii="Times New Roman" w:cs="Times New Roman" w:eastAsia="Times New Roman" w:hAnsi="Times New Roman"/>
          <w:b w:val="false"/>
          <w:bCs w:val="false"/>
          <w:i w:val="false"/>
          <w:iCs w:val="false"/>
        </w:rPr>
        <w:t xml:space="preserve"> renúncia de mandato do advogado do Banco Santander (Dr. Tebet George Fakhouri Junior). Sem relevância para o agravo.</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771/780 e-SAJ:</w:t>
      </w:r>
      <w:r>
        <w:rPr>
          <w:rFonts w:ascii="Times New Roman" w:cs="Times New Roman" w:eastAsia="Times New Roman" w:hAnsi="Times New Roman"/>
          <w:b w:val="false"/>
          <w:bCs w:val="false"/>
          <w:i w:val="false"/>
          <w:iCs w:val="false"/>
        </w:rPr>
        <w:t xml:space="preserve"> laudo da perita Maria Angélica André Carbonieri (Chavantes, 05/06/2008), que avaliou 83,75 alqueires em R$ 1.690.000,00.</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781 e-SAJ:</w:t>
      </w:r>
      <w:r>
        <w:rPr>
          <w:rFonts w:ascii="Times New Roman" w:cs="Times New Roman" w:eastAsia="Times New Roman" w:hAnsi="Times New Roman"/>
          <w:b w:val="false"/>
          <w:bCs w:val="false"/>
          <w:i w:val="false"/>
          <w:iCs w:val="false"/>
        </w:rPr>
        <w:t xml:space="preserve"> despacho de Chavantes de 16/03/2012 que designou praças eletrônicas para junho e julho de 2012.</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782/783 e-SAJ:</w:t>
      </w:r>
      <w:r>
        <w:rPr>
          <w:rFonts w:ascii="Times New Roman" w:cs="Times New Roman" w:eastAsia="Times New Roman" w:hAnsi="Times New Roman"/>
          <w:b w:val="false"/>
          <w:bCs w:val="false"/>
          <w:i w:val="false"/>
          <w:iCs w:val="false"/>
        </w:rPr>
        <w:t xml:space="preserve"> petição do executado em 2012 pedindo redução da penhora "com fundamento na sua avaliação e conta de liquidação apresentadas pelo credor", usando o débito de R$ 1.140.030,51. 🟨 O executado aceitou, em 2012, a planilha do credor calculada desde 1987. Isso é neutro: reforça que ninguém discutiu a conta de 1995 até 2025, mas mostra que o valor praticado era o das planilhas de 1987.</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Fls. 785 e-SAJ:</w:t>
      </w:r>
      <w:r>
        <w:rPr>
          <w:rFonts w:ascii="Times New Roman" w:cs="Times New Roman" w:eastAsia="Times New Roman" w:hAnsi="Times New Roman"/>
          <w:b w:val="false"/>
          <w:bCs w:val="false"/>
          <w:i w:val="false"/>
          <w:iCs w:val="false"/>
        </w:rPr>
        <w:t xml:space="preserve"> resposta dos cessionários de que o pedido do réu era intempestivo.</w:t>
      </w:r>
    </w:p>
    <w:p>
      <w:pPr>
        <w:spacing w:after="120" w:line="360"/>
        <w:jc w:val="both"/>
      </w:pPr>
      <w:r>
        <w:rPr>
          <w:rFonts w:ascii="Times New Roman" w:cs="Times New Roman" w:eastAsia="Times New Roman" w:hAnsi="Times New Roman"/>
          <w:b/>
          <w:bCs/>
          <w:i w:val="false"/>
          <w:iCs w:val="false"/>
        </w:rPr>
        <w:t xml:space="preserve">Distinção do REsp 1.538.235/DF, se o executado o invocar.</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Rito e fase diferentes.</w:t>
      </w:r>
      <w:r>
        <w:rPr>
          <w:rFonts w:ascii="Times New Roman" w:cs="Times New Roman" w:eastAsia="Times New Roman" w:hAnsi="Times New Roman"/>
          <w:b w:val="false"/>
          <w:bCs w:val="false"/>
          <w:i w:val="false"/>
          <w:iCs w:val="false"/>
        </w:rPr>
        <w:t xml:space="preserve"> Lá havia cumprimento de sentença pelo art. 475-B, §§ 3º e 4º, do CPC/73 (Lei 11.232/2005). A remessa ao contador servia só para "definir o montante da penhora", antes da penhora e antes da oportunidade legal de impugnar. Aqui a conta de 1995 foi elaborada </w:t>
      </w:r>
      <w:r>
        <w:rPr>
          <w:rFonts w:ascii="Times New Roman" w:cs="Times New Roman" w:eastAsia="Times New Roman" w:hAnsi="Times New Roman"/>
          <w:b/>
          <w:bCs/>
          <w:i w:val="false"/>
          <w:iCs w:val="false"/>
        </w:rPr>
        <w:t xml:space="preserve">depois</w:t>
      </w:r>
      <w:r>
        <w:rPr>
          <w:rFonts w:ascii="Times New Roman" w:cs="Times New Roman" w:eastAsia="Times New Roman" w:hAnsi="Times New Roman"/>
          <w:b w:val="false"/>
          <w:bCs w:val="false"/>
          <w:i w:val="false"/>
          <w:iCs w:val="false"/>
        </w:rPr>
        <w:t xml:space="preserve"> de embargos à execução opostos e julgados, após impugnação do próprio credor (fls. 174/175 e-SAJ / 129/130 física) e retificação pela Contadoria. Houve decisão homologatória publicada (fls. 203 e-SAJ / 152 física) e certidão de decurso de prazo (fls. 204 e-SAJ).</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O devedor já tinha exercido a defesa típica.</w:t>
      </w:r>
      <w:r>
        <w:rPr>
          <w:rFonts w:ascii="Times New Roman" w:cs="Times New Roman" w:eastAsia="Times New Roman" w:hAnsi="Times New Roman"/>
          <w:b w:val="false"/>
          <w:bCs w:val="false"/>
          <w:i w:val="false"/>
          <w:iCs w:val="false"/>
        </w:rPr>
        <w:t xml:space="preserve"> Os embargos são de 1988 e foram julgados em 1991. O fundamento do STJ foi que o devedor ainda não tivera o momento processual próprio para alegar excesso. Aqui esse momento passou há 35 anos.</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A Relatora e o STJ tratam a homologação exauriente como preclusa.</w:t>
      </w:r>
      <w:r>
        <w:rPr>
          <w:rFonts w:ascii="Times New Roman" w:cs="Times New Roman" w:eastAsia="Times New Roman" w:hAnsi="Times New Roman"/>
          <w:b w:val="false"/>
          <w:bCs w:val="false"/>
          <w:i w:val="false"/>
          <w:iCs w:val="false"/>
        </w:rPr>
        <w:t xml:space="preserve"> Ver AI 2353386 ("preclusão pro iudicato"; "retrocesso indevido"), EDcl/EREsp 1.229.406 e AgInt no REsp 2.127.021.</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Voto vencido favorável.</w:t>
      </w:r>
      <w:r>
        <w:rPr>
          <w:rFonts w:ascii="Times New Roman" w:cs="Times New Roman" w:eastAsia="Times New Roman" w:hAnsi="Times New Roman"/>
          <w:b w:val="false"/>
          <w:bCs w:val="false"/>
          <w:i w:val="false"/>
          <w:iCs w:val="false"/>
        </w:rPr>
        <w:t xml:space="preserve"> O voto original da própria Relatora, depois retificado, reconhecia a "preclusão lógica" pela inércia do devedor intimado sobre os cálculos. Não citar como precedente, mas conhecer o argumento.</w:t>
      </w:r>
    </w:p>
    <w:p>
      <w:pPr>
        <w:pStyle w:val="Heading1"/>
        <w:keepNext/>
      </w:pPr>
      <w:r>
        <w:rPr>
          <w:rFonts w:ascii="Times New Roman" w:cs="Times New Roman" w:eastAsia="Times New Roman" w:hAnsi="Times New Roman"/>
        </w:rPr>
        <w:t xml:space="preserve">TABELA-RESUMO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253"/>
        <w:gridCol w:w="1991"/>
        <w:gridCol w:w="2212"/>
        <w:gridCol w:w="1403"/>
      </w:tblGrid>
      <w:tr>
        <w:trPr>
          <w:cantSplit/>
          <w:tblHeader/>
        </w:trPr>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12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w:t>
            </w:r>
          </w:p>
        </w:tc>
        <w:tc>
          <w:tcPr>
            <w:tcW w:type="dxa" w:w="19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Impacto</w:t>
            </w:r>
          </w:p>
        </w:tc>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c>
          <w:tcPr>
            <w:tcW w:type="dxa" w:w="140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contra os exequentes: fls. 3066 não agravada e fls. 3077/3078 sem ressalva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fatal ao pedido principal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A6 (nenhuma decisão anterior fixou método), F1 (art. 1.000, p.u.;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3077/3078; 3082/3084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19 anos de planilhas desde 1987, "mera liberalidade" do Santander</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reduz o pedido a "piso"; pode levar a preclusão lógica</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admitir, explicar, rebaixar o pedido para perícia a partir de 1995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2137/2139; 2402; 2885; 1948; 3078</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R$ 185 mi x imóvel R$ 12,8 mi x cessão R$ 200 mil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perda de credibilidade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pedido principal = base + perícia; explicar que o excedente nunca será recebido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3419; 3374; 655/660</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 delimitação de cálculo não agravada preclui (fls. 3066, item 2)</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valida a metodologia de 1987</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J5: coisa julgada material de 1991/1993 é de ordem pública e prevalece; F2</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2178, 2184, 2154, 3066</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Frase da sentença "o contrato não contempla tal anomalia" usada contra a capitalização mensal de 1995</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reabre a conta de 1995</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J6: citar a validação da "forma de contagem"; homologação cumpriu a sentença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2178, 203, 204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Lapso "por parte do exequente" em fls. 3404 (AI 2353386)</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baixa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confusão na citação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citar fls. 3403 e usar [sic]</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3403/3404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Afirmação errada sobre fls. 52 (20%) — </w:t>
            </w:r>
            <w:r>
              <w:rPr>
                <w:rFonts w:ascii="Times New Roman" w:cs="Times New Roman" w:eastAsia="Times New Roman" w:hAnsi="Times New Roman"/>
                <w:b/>
                <w:bCs/>
                <w:i w:val="false"/>
                <w:iCs w:val="false"/>
                <w:sz w:val="19"/>
                <w:szCs w:val="19"/>
              </w:rPr>
              <w:t xml:space="preserve">v4: risco baixo, fonte dos 20% localizada (fls. 2184)</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baixa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B1/B5: retificar; fonte dos 20% = sentença dos embargos + confissão de fls. 1419/1421</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54; 31; 39; 1419</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a.m. capitalizada na conta de 1995 (DL 413, art. 5º, p.u.)</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ataca a conta como ilegal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preclusão; critério ≠ erro material (2.127.021; 2.500.976)</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180/183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 e art. 494, 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Câmara aceita "erro material"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EREsp 1.229.406 (distinção do próprio STJ)</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(Giaquinto, Ap. 1040981-64.2018) contra encargos pós-cessão</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 (se os memoriais insistirem)</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não cobrar encargos pós-1995; limitar ao período Banespa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valor no agravo = supressão de instância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"d.3" negado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pedir base + remessa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 invocado pelo executado (homologação do contador não preclui)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reabre a conta de 1995</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distinção (rito do art. 475-B; embargos já julgados; certidão de decurso)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174/175, 203, 204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2181564-67.2026 ("a preclusão não alcança o Juízo") invocado para validar fls. 3066</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legitima a revisão de ofício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lá não havia homologação anterior; aqui há decisão exauriente</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203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2297076-69.2024 (ato sem ressalva = preclusão lógica) invocado contra fls. 3077/3078</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reforça o </w:t>
            </w:r>
            <w:r>
              <w:rPr>
                <w:rFonts w:ascii="Times New Roman" w:cs="Times New Roman" w:eastAsia="Times New Roman" w:hAnsi="Times New Roman"/>
                <w:b w:val="false"/>
                <w:bCs w:val="false"/>
                <w:i/>
                <w:iCs/>
                <w:sz w:val="19"/>
                <w:szCs w:val="19"/>
              </w:rPr>
              <w:t xml:space="preserve">venire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ato espontâneo do devedor x cumprimento de ordem pelo credor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 fls. 3066, 3077</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Uso de afirmações da auditoria Gemini (fls. 3065 "atesta"; "devedor contumaz" da Relatora; REsp 1.538.235 favorável)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 se usadas</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Bloco I: não usar</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incompleto; contraminuta desconhecida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respostas às preliminares às cegas</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1"/>
        <w:keepNext/>
      </w:pPr>
      <w:r>
        <w:rPr>
          <w:rFonts w:ascii="Times New Roman" w:cs="Times New Roman" w:eastAsia="Times New Roman" w:hAnsi="Times New Roman"/>
        </w:rPr>
        <w:t xml:space="preserve">TABELA DE JURISPRUDÊNCIA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387"/>
        <w:gridCol w:w="2029"/>
        <w:gridCol w:w="2388"/>
      </w:tblGrid>
      <w:tr>
        <w:trPr>
          <w:cantSplit/>
          <w:tblHeader/>
        </w:trPr>
        <w:tc>
          <w:tcPr>
            <w:tcW w:type="dxa" w:w="22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238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202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Na pasta?</w:t>
            </w:r>
          </w:p>
        </w:tc>
        <w:tc>
          <w:tcPr>
            <w:tcW w:type="dxa" w:w="238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 DJe 07/03/2012; Radi Macruz x DERSA</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(título judicial)</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EREsp 1.229.406/SP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João Otávio de Noronha, decisão 05/08/2014, DJe 12/08/2014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distingue o 148.938</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Waldemar Zveiter (voto prevalente Ari Pargendler), j. 12/09/2000, DJ 12/03/2001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Noronha, sessão 03-09/03/2026, DJEN 12/03/2026</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13-19/08/2024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 DJe 28/09/2023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 DJEN 01/06/2026</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 DJe 01/07/2019</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(decisão, AgInt, certidão)</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Marco Buzzi; 4ª T., 23/09/2024; trânsito 17/10/2024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1.795.982/SP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p/ ac. Min. Raul Araújo, 06/03 e 21/08/2024, DJe 23/10/2024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 (SELIC)</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EAREsp 600.811/SP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Min. Og Fernandes, j. 04/12/2019, DJe 07/02/2020</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1.061.530/RS + Súmula 381</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Seção, Rel. Min. Nancy Andrighi, j. 22/10/2008, DJe 10/03/2009 (repetitivo)</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(exclui cédulas)</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Villas Bôas Cueva, decisão 06/05/2014, DJe 16/05/2014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nos EDcl no AREsp 1.122.847/SP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10/10/2023, DJe 27/10/2023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23/08/2022, trânsito 20/09/2022</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(CCB)</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j. 16/06/2020, DJe 04/08/2020</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analogia</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Noronha, decisão 22/06/2011, DJe 30/06/2011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monocrática</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5ª T., Rel. Min. Edson Vidigal, j. 15/08/2000, DJ 11/09/2000</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2.019.623/SP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13-19/09/2022</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1.476.534/CE</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sessão 10-16/08/2021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(distinguir)</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31.025/RS</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Sálvio de Figueiredo, j. 17/02/1993 (no PDF da Súmula 93)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Súmulas 93/STJ, 596/STF, 254/STF, 121/STF, 381/STJ</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Bloco D</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05/12/2022</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07/10/2025</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(incompleto)</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20ª CDP, Rel. Rebello Pinho, j. 24/08/2020</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Cláudia Grieco Tabosa Pessoa, j. 11/12/2023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2401202-39.2025</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CDP, Rel. Pastorelo Kfouri, j. 30/04/2026</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2065526-45.2021 (Registro 2021.0000902160)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23ª CDP, ac. Des. Marcos Gozzo (maioria), j. 20/10/2021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(o título do arquivo está invertido)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1040981-64.2018 (Giaquinto, 13ª CDP, 27/01/2021)</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em fls. 3042</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(cessão)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1.539.138/SP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Napoleão Nunes Maia Filho, decisão monocrática de 25/11/2020 (reconsideração); antes, Presidência, 05/08/2019, DJe 08/08/2019</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(título judicial)</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virtual 26/05 a 01/06/2020, v.u.</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 (v4)</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quanto a fls. 3066; 🟩 a favor quanto a 1995 (dois gumes)</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0017993-79.2012.8.26.0408</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23/11/2016, Registro 2016.0000860543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com distinção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2143351-60.2024.8.26.0000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Câm. Dir. Público, Rel. Flora Maria Nesi Tossi Silva, j. 27/11/2024</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Ap. 0019853-52.2024.8.26.0002</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38ª CDP, Rel. Spencer Almeida Ferreira, j. 10/12/2025, Registro 2025.0001287226</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2181564-67.2026.8.26.0000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CDP, Rel. Claudio Godoy, j. 17/09/2026, v.u., Registro 2026.0000900387</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(F2)</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2297076-69.2024.8.26.0000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Jairo Brazil, j. 31/10/2024, v.u., Registro 2024.0001057089</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a distinguir (F2)</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EDcl 0114335-38.2025.8.26.9061/50000</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Recursal Cível, Rel. Renato Guanaes Simões Thomsen, j. 27/11/2025, Registro 2025.0000234581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(sustentação oral incabível; texto do art. 1º da Res. 549/2011)</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(voto retificado após voto-vista do Min. Bellizze), j. 14/05/2019, DJe 29/05/2019</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contrário</w:t>
            </w:r>
            <w:r>
              <w:rPr>
                <w:rFonts w:ascii="Times New Roman" w:cs="Times New Roman" w:eastAsia="Times New Roman" w:hAnsi="Times New Roman"/>
                <w:b w:val="false"/>
                <w:bCs w:val="false"/>
                <w:i w:val="false"/>
                <w:iCs w:val="false"/>
                <w:sz w:val="19"/>
                <w:szCs w:val="19"/>
              </w:rPr>
              <w:t xml:space="preserve"> (Bloco I)</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1.995.565/SP</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22/11/2022, DJe 24/11/2022</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 (v4)</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processual (julgamento virtual sem nulidade; AI sem tutela provisória)</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841/87 (apenso)</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3ª Vara de Ourinhos, Juiz José Aparício Coelho Prado Neto, 03/05/1991</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(fls. 2156/2184 e-SAJ)</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coisa julgada: 20%; anatocismo rejeitado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TACivSP Ap. 494.970-8</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Câm. do 1º TACivSP, Rel. Luiz Correia Lima, j. 05/10/1993, v.u.; trânsito certificado em 10/11/1993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(fls. 2144/2154 e-SAJ)</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coisa julgada: 57,18% a.a.; mora 1% a.m.</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1.679.792/RS; AgInt no AREsp 2.082.313/DF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j. 23/02/2021 e 27/03/2023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transcritos no AI 2181564</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(juiz revê cálculo de ofício)</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984/2025</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publicada em 18/09/2025; arts. 11 e 12 (48 horas); revoga as Res. 549/2011, 772/2017 e 903/2023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comunicado oficial; arquivo do Drive vazio (0 byte)</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prazos / 🟨 texto integral</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RITJSP, art. 146 (compilado)</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Assentos Regimentais 581/2019, 585/2023 e 588/2023</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(v4)</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1.851.737/DF</w:t>
            </w:r>
          </w:p>
        </w:tc>
        <w:tc>
          <w:tcPr>
            <w:tcW w:type="dxa" w:w="238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0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3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 confirmar</w:t>
            </w:r>
          </w:p>
        </w:tc>
      </w:tr>
    </w:tbl>
    <w:p>
      <w:pPr>
        <w:spacing w:after="120"/>
      </w:pPr>
    </w:p>
    <w:p>
      <w:pPr>
        <w:pStyle w:val="Heading1"/>
        <w:keepNext/>
      </w:pPr>
      <w:r>
        <w:rPr>
          <w:rFonts w:ascii="Times New Roman" w:cs="Times New Roman" w:eastAsia="Times New Roman" w:hAnsi="Times New Roman"/>
        </w:rPr>
        <w:t xml:space="preserve">LISTA DE DOCUMENTOS A SUBIR</w:t>
      </w:r>
    </w:p>
    <w:p>
      <w:pPr>
        <w:spacing w:after="120" w:line="360"/>
        <w:jc w:val="both"/>
      </w:pPr>
      <w:r>
        <w:rPr>
          <w:rFonts w:ascii="Times New Roman" w:cs="Times New Roman" w:eastAsia="Times New Roman" w:hAnsi="Times New Roman"/>
          <w:b w:val="false"/>
          <w:bCs w:val="false"/>
          <w:i w:val="false"/>
          <w:iCs w:val="false"/>
        </w:rPr>
        <w:t xml:space="preserve">Ver "PRIMEIRO PASSO" (grupos 1 e 2). Prioridade (v4): (1) </w:t>
      </w:r>
      <w:r>
        <w:rPr>
          <w:rFonts w:ascii="Times New Roman" w:cs="Times New Roman" w:eastAsia="Times New Roman" w:hAnsi="Times New Roman"/>
          <w:b/>
          <w:bCs/>
          <w:i w:val="false"/>
          <w:iCs w:val="false"/>
        </w:rPr>
        <w:t xml:space="preserve">contraminuta</w:t>
      </w:r>
      <w:r>
        <w:rPr>
          <w:rFonts w:ascii="Times New Roman" w:cs="Times New Roman" w:eastAsia="Times New Roman" w:hAnsi="Times New Roman"/>
          <w:b w:val="false"/>
          <w:bCs w:val="false"/>
          <w:i w:val="false"/>
          <w:iCs w:val="false"/>
        </w:rPr>
        <w:t xml:space="preserve"> (WPRO.26.01280402-4), o único documento essencial que falta; (2) novo upload do texto integral da Resolução TJSP 984/2025 (o arquivo atual tem 0 byte); (3) imagem legível de fls. 1924/1931 e-SAJ (CP 387/394), porque o OCR recebido está corrompido; (4) AgInt no AREsp 1.851.737/DF. </w:t>
      </w:r>
      <w:r>
        <w:rPr>
          <w:rFonts w:ascii="Times New Roman" w:cs="Times New Roman" w:eastAsia="Times New Roman" w:hAnsi="Times New Roman"/>
          <w:b/>
          <w:bCs/>
          <w:i w:val="false"/>
          <w:iCs w:val="false"/>
        </w:rPr>
        <w:t xml:space="preserve">Resolvidos na v4:</w:t>
      </w:r>
      <w:r>
        <w:rPr>
          <w:rFonts w:ascii="Times New Roman" w:cs="Times New Roman" w:eastAsia="Times New Roman" w:hAnsi="Times New Roman"/>
          <w:b w:val="false"/>
          <w:bCs w:val="false"/>
          <w:i w:val="false"/>
          <w:iCs w:val="false"/>
        </w:rPr>
        <w:t xml:space="preserve"> sentença e acórdão dos embargos; fls. 3404/3406; RITJSP, art. 146; REsp 1.995.565; AgInt no REsp 1.455.741; fls. 185/186, 651 e 771/785.</w:t>
      </w:r>
    </w:p>
    <w:p>
      <w:pPr>
        <w:pStyle w:val="Heading1"/>
        <w:keepNext/>
      </w:pPr>
      <w:r>
        <w:rPr>
          <w:rFonts w:ascii="Times New Roman" w:cs="Times New Roman" w:eastAsia="Times New Roman" w:hAnsi="Times New Roman"/>
        </w:rPr>
        <w:t xml:space="preserve">ESQUELETO DOS MEMORIAIS (ordem de persuasão)</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(v4) Coisa julgada dos embargos, antes de tudo</w:t>
      </w:r>
      <w:r>
        <w:rPr>
          <w:rFonts w:ascii="Times New Roman" w:cs="Times New Roman" w:eastAsia="Times New Roman" w:hAnsi="Times New Roman"/>
          <w:b w:val="false"/>
          <w:bCs w:val="false"/>
          <w:i w:val="false"/>
          <w:iCs w:val="false"/>
        </w:rPr>
        <w:t xml:space="preserve">: sentença de 03/05/1991 (fls. 2184 e-SAJ): 20% "sobre o montante da execução"; anatocismo e "forma de contagem" rejeitados (fls. 2178); quantum "apurado por cálculo (…) homologado por decisão" (fls. 2178); acórdão de 05/10/1993 (fls. 2144/2150): 57,18% a.a. válido; trânsito em 10/11/1993 (fls. 2154). A conta de 1995 é a execução desse comando. Fls. 3066 reabriu matéria transitada em julgado (arts. 502, 505 e 508; CF, art. 5º, XXXVI).</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Síntese em uma página</w:t>
      </w:r>
      <w:r>
        <w:rPr>
          <w:rFonts w:ascii="Times New Roman" w:cs="Times New Roman" w:eastAsia="Times New Roman" w:hAnsi="Times New Roman"/>
          <w:b w:val="false"/>
          <w:bCs w:val="false"/>
          <w:i w:val="false"/>
          <w:iCs w:val="false"/>
        </w:rPr>
        <w:t xml:space="preserve">: o que se pede (base de 1995 + perícia), o que não se pede mais (homologação de R$ 185 mi; sobrestamento do leilão). Prova: fls. 203/204 e-SAJ (152 física).</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 conta homologada e sua história</w:t>
      </w:r>
      <w:r>
        <w:rPr>
          <w:rFonts w:ascii="Times New Roman" w:cs="Times New Roman" w:eastAsia="Times New Roman" w:hAnsi="Times New Roman"/>
          <w:b w:val="false"/>
          <w:bCs w:val="false"/>
          <w:i w:val="false"/>
          <w:iCs w:val="false"/>
        </w:rPr>
        <w:t xml:space="preserve">: 1ª conta (165/122) → impugnação do Banespa (174-175/129-130) → retificação por ordem judicial (178/"133"; 179) → homologação (203/152) → certidão (204). O devedor, citado (54/24), nunca impugnou.</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 decisão de fls. 3066 decidiu o que declarou não poder decidir</w:t>
      </w:r>
      <w:r>
        <w:rPr>
          <w:rFonts w:ascii="Times New Roman" w:cs="Times New Roman" w:eastAsia="Times New Roman" w:hAnsi="Times New Roman"/>
          <w:b w:val="false"/>
          <w:bCs w:val="false"/>
          <w:i w:val="false"/>
          <w:iCs w:val="false"/>
        </w:rPr>
        <w:t xml:space="preserve">: transcrição lado a lado de 3065 e 3066; arts. 1.022, 9º, 10, 505; AI 2236642 ("única tese"; "indevida inovação").</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Critério não é erro material; ordem pública preclui</w:t>
      </w:r>
      <w:r>
        <w:rPr>
          <w:rFonts w:ascii="Times New Roman" w:cs="Times New Roman" w:eastAsia="Times New Roman" w:hAnsi="Times New Roman"/>
          <w:b w:val="false"/>
          <w:bCs w:val="false"/>
          <w:i w:val="false"/>
          <w:iCs w:val="false"/>
        </w:rPr>
        <w:t xml:space="preserve">: EDcl/EREsp 1.229.406; 2.127.021; 2.500.976; 2.019.623; 1.861.550; AI 2250267 e 2401202 (TJSP). Distinção do REsp 148.938.</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Cumprir ordem não é aquiescer</w:t>
      </w:r>
      <w:r>
        <w:rPr>
          <w:rFonts w:ascii="Times New Roman" w:cs="Times New Roman" w:eastAsia="Times New Roman" w:hAnsi="Times New Roman"/>
          <w:b w:val="false"/>
          <w:bCs w:val="false"/>
          <w:i w:val="false"/>
          <w:iCs w:val="false"/>
        </w:rPr>
        <w:t xml:space="preserve">: 1932/1933 (14/03/2024), 3066 e 3082/3084; art. 1.000, p.u.; REsp 2.018.575; EDcl REsp 2.178.097; REsp 1.655.655.</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As planilhas desde 1987 e a "mera liberalidade" do Santander</w:t>
      </w:r>
      <w:r>
        <w:rPr>
          <w:rFonts w:ascii="Times New Roman" w:cs="Times New Roman" w:eastAsia="Times New Roman" w:hAnsi="Times New Roman"/>
          <w:b w:val="false"/>
          <w:bCs w:val="false"/>
          <w:i w:val="false"/>
          <w:iCs w:val="false"/>
        </w:rPr>
        <w:t xml:space="preserve"> (2137/2139): renúncia estrita, não homologada; nenhuma planilha foi homologada (3041); confissões do executado (1419/1421; 1483).</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Coerência da Câmara (art. 926)</w:t>
      </w:r>
      <w:r>
        <w:rPr>
          <w:rFonts w:ascii="Times New Roman" w:cs="Times New Roman" w:eastAsia="Times New Roman" w:hAnsi="Times New Roman"/>
          <w:b w:val="false"/>
          <w:bCs w:val="false"/>
          <w:i w:val="false"/>
          <w:iCs w:val="false"/>
        </w:rPr>
        <w:t xml:space="preserve">: AI 2353386 ("preclusão pro iudicato", "retrocesso indevido"); AI 2236642.</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Não há anatocismo pós-1995</w:t>
      </w:r>
      <w:r>
        <w:rPr>
          <w:rFonts w:ascii="Times New Roman" w:cs="Times New Roman" w:eastAsia="Times New Roman" w:hAnsi="Times New Roman"/>
          <w:b w:val="false"/>
          <w:bCs w:val="false"/>
          <w:i w:val="false"/>
          <w:iCs w:val="false"/>
        </w:rPr>
        <w:t xml:space="preserve">: fls. 3419 (juros simples desde 05/10/1995); DL 413, art. 5º e 11, § 2º; Súmula 93; REsp 31.025.</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Honorários</w:t>
      </w:r>
      <w:r>
        <w:rPr>
          <w:rFonts w:ascii="Times New Roman" w:cs="Times New Roman" w:eastAsia="Times New Roman" w:hAnsi="Times New Roman"/>
          <w:b w:val="false"/>
          <w:bCs w:val="false"/>
          <w:i w:val="false"/>
          <w:iCs w:val="false"/>
        </w:rPr>
        <w:t xml:space="preserve">: sentença dos embargos, fls. 2184 e-SAJ (20% sobre o montante da execução), e trânsito, fls. 2154; confissão em 1419/1421; conta 180/134; retificação sobre fls. 52 (fixação condicional).</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Cessão</w:t>
      </w:r>
      <w:r>
        <w:rPr>
          <w:rFonts w:ascii="Times New Roman" w:cs="Times New Roman" w:eastAsia="Times New Roman" w:hAnsi="Times New Roman"/>
          <w:b w:val="false"/>
          <w:bCs w:val="false"/>
          <w:i w:val="false"/>
          <w:iCs w:val="false"/>
        </w:rPr>
        <w:t xml:space="preserve"> (só se a contraminuta suscitar): 655/660 (537/542); REsp 1.984.424; art. 893 CC; Tema 361; os exequentes não cobram encargos pós-1995 (3043).</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Pedidos</w:t>
      </w:r>
      <w:r>
        <w:rPr>
          <w:rFonts w:ascii="Times New Roman" w:cs="Times New Roman" w:eastAsia="Times New Roman" w:hAnsi="Times New Roman"/>
          <w:b w:val="false"/>
          <w:bCs w:val="false"/>
          <w:i w:val="false"/>
          <w:iCs w:val="false"/>
        </w:rPr>
        <w:t xml:space="preserve">: (a) provimento para reformar 3435/3437 e reconhecer a base de 05/10/1995 (R$ 5.256.733,85 + multa 10% + honorários), com perícia na origem; (b) subsidiário: perícia com decomposição do saldo de 1995 (capital x mora) e juros legais só sobre o capital; (c) desistência do pedido "f"; (d) juntada de documentos (art. 435) com vista à parte contrária (art. 437, § 1º).</w:t>
      </w:r>
    </w:p>
    <w:p>
      <w:pPr>
        <w:pStyle w:val="Heading1"/>
        <w:keepNext/>
      </w:pPr>
      <w:r>
        <w:rPr>
          <w:rFonts w:ascii="Times New Roman" w:cs="Times New Roman" w:eastAsia="Times New Roman" w:hAnsi="Times New Roman"/>
        </w:rPr>
        <w:t xml:space="preserve">Páginas lidas / não verificado</w:t>
      </w:r>
    </w:p>
    <w:p>
      <w:pPr>
        <w:spacing w:after="120" w:line="360"/>
        <w:jc w:val="both"/>
      </w:pPr>
      <w:r>
        <w:rPr>
          <w:rFonts w:ascii="Times New Roman" w:cs="Times New Roman" w:eastAsia="Times New Roman" w:hAnsi="Times New Roman"/>
          <w:b w:val="false"/>
          <w:bCs w:val="false"/>
          <w:i w:val="false"/>
          <w:iCs w:val="false"/>
        </w:rPr>
        <w:t xml:space="preserve">Páginas lidas por arquivo: ver a tabela inicial. </w:t>
      </w:r>
      <w:r>
        <w:rPr>
          <w:rFonts w:ascii="Times New Roman" w:cs="Times New Roman" w:eastAsia="Times New Roman" w:hAnsi="Times New Roman"/>
          <w:b/>
          <w:bCs/>
          <w:i w:val="false"/>
          <w:iCs w:val="false"/>
        </w:rPr>
        <w:t xml:space="preserve">Não consegui verificar:</w:t>
      </w:r>
      <w:r>
        <w:rPr>
          <w:rFonts w:ascii="Times New Roman" w:cs="Times New Roman" w:eastAsia="Times New Roman" w:hAnsi="Times New Roman"/>
          <w:b w:val="false"/>
          <w:bCs w:val="false"/>
          <w:i w:val="false"/>
          <w:iCs w:val="false"/>
        </w:rPr>
        <w:t xml:space="preserve"> fls. 27-30, 32-38, 41-51 (só rendidas, não lidas); fls. 57 e-SAJ (ilegível); fls. 185/186 (habilitação Bradesco); fls. 205 a 900 (nenhum arquivo cobre); fls. 651; 771/785; 1500/1505 (imagem); 1924/1931 (AREsp na CP); 2140/2200 (cópias juntadas pelo Santander); 3404 (fim do acórdão); contraminuta; apelação 0017993-79.2012; sentença e acórdão dos embargos 0015252; Resolução 549/2011 e RITJSP; os seis julgados do grupo 2 de faltantes. Tudo o que está marcado 🟩 foi conferido em imagem ou em texto com camada verificada; o que está 🟨 depende desses itens.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FINAL (enviada no chat em 27/09/2026)</w:t>
      </w:r>
    </w:p>
    <w:p>
      <w:pPr>
        <w:spacing w:after="120" w:line="360"/>
        <w:jc w:val="both"/>
      </w:pPr>
      <w:r>
        <w:rPr>
          <w:rFonts w:ascii="Times New Roman" w:cs="Times New Roman" w:eastAsia="Times New Roman" w:hAnsi="Times New Roman"/>
          <w:b/>
          <w:bCs/>
          <w:i w:val="false"/>
          <w:iCs w:val="false"/>
        </w:rPr>
        <w:t xml:space="preserve">Os cinco achados que mudam a estratégia</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premissa "a base sempre foi a conta de 1995" não se sustenta nos autos. Todas as planilhas lidas partem de Cz$ 1.210.000,00 em maio/1987: Santander em 2007 (fls. 2137/2139 e-SAJ, CP 600/602 / 148/150 física) e 2009 (fls. 2402/2403), cessionários em 2019 (fls. 2885), 19/04/2024 (fls. 1948) e 04/06/2025 (fls. 3078). O Santander escreveu em 2007: "inobstante a existência de decisão homologada nos autos principais (…) por mera liberalidade, optou o credor" por calcular desde 1987. A única invocação da base de 1995 antes de 2026 é a resposta à exceção de 16/09/2024 (fls. 1538). O pedido de homologar R$ 185 milhões precisa ser abandonado; o pedido viável é "base de 1995 + perícia na origem".</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origem dos 20% de honorários é a sentença dos Embargos à Execução (03/05/1991), e o próprio executado confessou isso (fls. 1419/1421 e-SAJ). Fls. 52 é ilegível e três documentos coevos (cédula, inicial, mandado) dizem 10%. A afirmação do agravo sobre fls. 52 deve ser retificada nos memoriais.</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contradição interna de fls. 3064/3066 é literal: o juiz declarou a matéria "nova" e "imprópria a via" e, no mesmo ato, decidiu-a de ofício no item 2.</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A jurisprudência do STJ sobre "erro material x critério" é uniforme e favorável (EDcl e EREsp 1.229.406/SP; AgInt no REsp 2.127.021/DF; AgInt no AREsp 2.500.976/PR). Dois arquivos do Drive estão trocados: "AgInt no AgInt no AREsp 1539138" contém fls. 786/790 dos autos, e "Registro 2021-0000902160 NAO PODE COBRAR JUROS" diz o oposto do título.</w:t>
      </w:r>
    </w:p>
    <w:p>
      <w:pPr>
        <w:pStyle w:val="ListParagraph"/>
        <w:numPr>
          <w:ilvl w:val="0"/>
          <w:numId w:val="9"/>
        </w:numPr>
        <w:spacing w:after="80" w:line="340"/>
        <w:jc w:val="both"/>
      </w:pPr>
      <w:r>
        <w:rPr>
          <w:rFonts w:ascii="Times New Roman" w:cs="Times New Roman" w:eastAsia="Times New Roman" w:hAnsi="Times New Roman"/>
          <w:b w:val="false"/>
          <w:bCs w:val="false"/>
          <w:i w:val="false"/>
          <w:iCs w:val="false"/>
        </w:rPr>
        <w:t xml:space="preserve">🟨 Ponto fraco real da conta de 1995: mora de 1% ao mês capitalizada, quando o DL 413/69, art. 5º, parágrafo único, limita a elevação a 1% ao ano. Defesa: critério preclusão, não erro material.</w:t>
      </w:r>
    </w:p>
    <w:p>
      <w:pPr>
        <w:spacing w:after="120" w:line="360"/>
        <w:jc w:val="both"/>
      </w:pPr>
      <w:r>
        <w:rPr>
          <w:rFonts w:ascii="Times New Roman" w:cs="Times New Roman" w:eastAsia="Times New Roman" w:hAnsi="Times New Roman"/>
          <w:b/>
          <w:bCs/>
          <w:i w:val="false"/>
          <w:iCs w:val="false"/>
        </w:rPr>
        <w:t xml:space="preserve">Itens pendentes para fechar os 🟨:</w:t>
      </w:r>
      <w:r>
        <w:rPr>
          <w:rFonts w:ascii="Times New Roman" w:cs="Times New Roman" w:eastAsia="Times New Roman" w:hAnsi="Times New Roman"/>
          <w:b w:val="false"/>
          <w:bCs w:val="false"/>
          <w:i w:val="false"/>
          <w:iCs w:val="false"/>
        </w:rPr>
        <w:t xml:space="preserve"> contraminuta; sentença e acórdão dos Embargos 0015252 (fls. ~2140/2160 e-SAJ ou fls. 32/47 e 85 dos embargos digitalizados); fls. 3404; fls. 651, 655/673, 771/785, 1924/1931 e 1500/1505; arquivo correto do AREsp 1.539.138 e os julgados 1.455.741, 1.851.737, AI 2181564-67.2026 e AI 2297076-69.2024; Apelação 0017993-79.2012; Resolução TJSP 549/2011; leitura completa de "pag 55 a 173".</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3 (28/09/2026)</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 regime do julgamento virtual mudou.</w:t>
      </w:r>
      <w:r>
        <w:rPr>
          <w:rFonts w:ascii="Times New Roman" w:cs="Times New Roman" w:eastAsia="Times New Roman" w:hAnsi="Times New Roman"/>
          <w:b w:val="false"/>
          <w:bCs w:val="false"/>
          <w:i w:val="false"/>
          <w:iCs w:val="false"/>
        </w:rPr>
        <w:t xml:space="preserve"> A Resolução TJSP 984/2025 revogou a 549/2011. A objeção ao julgamento eletrônico pode ser apresentada até 48 horas antes do início da sessão, e não mais em cinco dias da distribuição. Sustentação oral continua incabível neste agravo. O instrumento principal é o memorial, protocolado já, com despacho com a Relatora.</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Fls. 52 e-SAJ / 23 física fixou honorários só "em caso de pagamento ou de não apresentação de embargos".</w:t>
      </w:r>
      <w:r>
        <w:rPr>
          <w:rFonts w:ascii="Times New Roman" w:cs="Times New Roman" w:eastAsia="Times New Roman" w:hAnsi="Times New Roman"/>
          <w:b w:val="false"/>
          <w:bCs w:val="false"/>
          <w:i w:val="false"/>
          <w:iCs w:val="false"/>
        </w:rPr>
        <w:t xml:space="preserve"> Como houve embargos, a verba que vale é a da sentença dos embargos. Isso esvazia o argumento do executado de que os honorários são de 10% "conforme mandado de fls. 54".</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REsp 1.538.235/DF é contrário.</w:t>
      </w:r>
      <w:r>
        <w:rPr>
          <w:rFonts w:ascii="Times New Roman" w:cs="Times New Roman" w:eastAsia="Times New Roman" w:hAnsi="Times New Roman"/>
          <w:b w:val="false"/>
          <w:bCs w:val="false"/>
          <w:i w:val="false"/>
          <w:iCs w:val="false"/>
        </w:rPr>
        <w:t xml:space="preserve"> O Gemini o apresentou como favorável. Ele afasta a preclusão da conta homologada pelo contador antes da penhora. A distinção está no Bloco I.</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Os dois agravos novos do TJSP são de dois gumes.</w:t>
      </w:r>
      <w:r>
        <w:rPr>
          <w:rFonts w:ascii="Times New Roman" w:cs="Times New Roman" w:eastAsia="Times New Roman" w:hAnsi="Times New Roman"/>
          <w:b w:val="false"/>
          <w:bCs w:val="false"/>
          <w:i w:val="false"/>
          <w:iCs w:val="false"/>
        </w:rPr>
        <w:t xml:space="preserve"> O AI 2181564 protege o credor contra a homologação automática da conta do executado, mas afirma que o juiz pode rever cálculos de ofício. O AI 2297076 pune ato sem ressalva e será usado contra a planilha de fls. 3077/3078.</w:t>
      </w:r>
    </w:p>
    <w:p>
      <w:pPr>
        <w:pStyle w:val="ListParagraph"/>
        <w:numPr>
          <w:ilvl w:val="0"/>
          <w:numId w:val="10"/>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auditoria do Gemini não serve de base.</w:t>
      </w:r>
      <w:r>
        <w:rPr>
          <w:rFonts w:ascii="Times New Roman" w:cs="Times New Roman" w:eastAsia="Times New Roman" w:hAnsi="Times New Roman"/>
          <w:b w:val="false"/>
          <w:bCs w:val="false"/>
          <w:i w:val="false"/>
          <w:iCs w:val="false"/>
        </w:rPr>
        <w:t xml:space="preserve"> Ela afirma ter todos os documentos, erra folhas e valores, inventa um atestado em fls. 3065, atribui à Relatora a expressão "devedor contumaz" e omite o risco do </w:t>
      </w:r>
      <w:r>
        <w:rPr>
          <w:rFonts w:ascii="Times New Roman" w:cs="Times New Roman" w:eastAsia="Times New Roman" w:hAnsi="Times New Roman"/>
          <w:b w:val="false"/>
          <w:bCs w:val="false"/>
          <w:i/>
          <w:iCs/>
        </w:rPr>
        <w:t xml:space="preserve">venire</w:t>
      </w:r>
      <w:r>
        <w:rPr>
          <w:rFonts w:ascii="Times New Roman" w:cs="Times New Roman" w:eastAsia="Times New Roman" w:hAnsi="Times New Roman"/>
          <w:b w:val="false"/>
          <w:bCs w:val="false"/>
          <w:i w:val="false"/>
          <w:iCs w:val="false"/>
        </w:rPr>
        <w:t xml:space="preserve">.</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DA VERSÃO 4 (28/09/2026)</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e o acórdão dos embargos estão nos autos, em fls. 2144/2184 e-SAJ.</w:t>
      </w:r>
      <w:r>
        <w:rPr>
          <w:rFonts w:ascii="Times New Roman" w:cs="Times New Roman" w:eastAsia="Times New Roman" w:hAnsi="Times New Roman"/>
          <w:b w:val="false"/>
          <w:bCs w:val="false"/>
          <w:i w:val="false"/>
          <w:iCs w:val="false"/>
        </w:rPr>
        <w:t xml:space="preserve"> A sentença, de 03/05/1991, fixou honorários de "20% (vinte por cento) sobre o montante da execução" (fls. 2184). O acórdão, de 05/10/1993, negou provimento por unanimidade. O trânsito foi certificado em 10/11/1993 (fls. 2154).</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rejeitou o anatocismo e validou a forma de contagem dos juros</w:t>
      </w:r>
      <w:r>
        <w:rPr>
          <w:rFonts w:ascii="Times New Roman" w:cs="Times New Roman" w:eastAsia="Times New Roman" w:hAnsi="Times New Roman"/>
          <w:b w:val="false"/>
          <w:bCs w:val="false"/>
          <w:i w:val="false"/>
          <w:iCs w:val="false"/>
        </w:rPr>
        <w:t xml:space="preserve"> (fls. 2178). O acórdão validou os 57,18% ao ano (fls. 2148). A tese de "capitalização vedada" de fls. 3066 reabre matéria transitada em julgado. O argumento central dos memoriais passa a ser </w:t>
      </w:r>
      <w:r>
        <w:rPr>
          <w:rFonts w:ascii="Times New Roman" w:cs="Times New Roman" w:eastAsia="Times New Roman" w:hAnsi="Times New Roman"/>
          <w:b/>
          <w:bCs/>
          <w:i w:val="false"/>
          <w:iCs w:val="false"/>
        </w:rPr>
        <w:t xml:space="preserve">coisa julgada material</w:t>
      </w:r>
      <w:r>
        <w:rPr>
          <w:rFonts w:ascii="Times New Roman" w:cs="Times New Roman" w:eastAsia="Times New Roman" w:hAnsi="Times New Roman"/>
          <w:b w:val="false"/>
          <w:bCs w:val="false"/>
          <w:i w:val="false"/>
          <w:iCs w:val="false"/>
        </w:rPr>
        <w:t xml:space="preserve">, e não só preclusão.</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sentença mandou apurar o valor por cálculo do Juízo, a ser homologado</w:t>
      </w:r>
      <w:r>
        <w:rPr>
          <w:rFonts w:ascii="Times New Roman" w:cs="Times New Roman" w:eastAsia="Times New Roman" w:hAnsi="Times New Roman"/>
          <w:b w:val="false"/>
          <w:bCs w:val="false"/>
          <w:i w:val="false"/>
          <w:iCs w:val="false"/>
        </w:rPr>
        <w:t xml:space="preserve"> (fls. 2178). A homologação de 1995 cumpriu essa ordem.</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O AgInt no REsp 1.455.741/DF é o precedente mais perigoso</w:t>
      </w:r>
      <w:r>
        <w:rPr>
          <w:rFonts w:ascii="Times New Roman" w:cs="Times New Roman" w:eastAsia="Times New Roman" w:hAnsi="Times New Roman"/>
          <w:b w:val="false"/>
          <w:bCs w:val="false"/>
          <w:i w:val="false"/>
          <w:iCs w:val="false"/>
        </w:rPr>
        <w:t xml:space="preserve">: diz que a decisão que delimita o cálculo e não é agravada preclui. A resposta é que fls. 3066 violou coisa julgada, matéria de ordem pública.</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Regras de sessão confirmadas.</w:t>
      </w:r>
      <w:r>
        <w:rPr>
          <w:rFonts w:ascii="Times New Roman" w:cs="Times New Roman" w:eastAsia="Times New Roman" w:hAnsi="Times New Roman"/>
          <w:b w:val="false"/>
          <w:bCs w:val="false"/>
          <w:i w:val="false"/>
          <w:iCs w:val="false"/>
        </w:rPr>
        <w:t xml:space="preserve"> Não cabe sustentação oral (CPC, art. 937, VIII; RITJSP, art. 146, § 4º, texto oficial). A objeção ao julgamento virtual vai até 48 horas antes da sessão (Resolução 984/2025, art. 11, por comunicado oficial do TJSP).</w:t>
      </w:r>
    </w:p>
    <w:p>
      <w:pPr>
        <w:pStyle w:val="ListParagraph"/>
        <w:numPr>
          <w:ilvl w:val="0"/>
          <w:numId w:val="11"/>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Falta só a contraminuta</w:t>
      </w:r>
      <w:r>
        <w:rPr>
          <w:rFonts w:ascii="Times New Roman" w:cs="Times New Roman" w:eastAsia="Times New Roman" w:hAnsi="Times New Roman"/>
          <w:b w:val="false"/>
          <w:bCs w:val="false"/>
          <w:i w:val="false"/>
          <w:iCs w:val="false"/>
        </w:rPr>
        <w:t xml:space="preserve"> entre os documentos essenciais. O arquivo da Resolução 984/2025 no Drive está vazio.</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pente-fino para memoriais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5"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6"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7"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8"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9"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0"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1"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2026-09-28T13:15:58.013Z</dcterms:created>
  <dcterms:modified xsi:type="dcterms:W3CDTF">2026-09-28T13:15:58.024Z</dcterms:modified>
</cp:coreProperties>
</file>

<file path=docProps/custom.xml><?xml version="1.0" encoding="utf-8"?>
<Properties xmlns="http://schemas.openxmlformats.org/officeDocument/2006/custom-properties" xmlns:vt="http://schemas.openxmlformats.org/officeDocument/2006/docPropsVTypes"/>
</file>