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NSCGJ-SP, Tomo II: extrato de dispositivos sobre CCIR, ITR, certidões negativas e quitação de tributos (imóveis rurais)</w:t>
      </w:r>
    </w:p>
    <w:p>
      <w:pPr>
        <w:pStyle w:val="Heading1"/>
      </w:pPr>
      <w:r>
        <w:t>1. Identificação do documento</w:t>
      </w:r>
    </w:p>
    <w:tbl>
      <w:tblPr>
        <w:tblStyle w:val="TableGrid"/>
        <w:tblW w:type="auto" w:w="0"/>
        <w:tblLayout w:type="fixed"/>
        <w:tblLook w:firstColumn="1" w:firstRow="1" w:lastColumn="0" w:lastRow="0" w:noHBand="0" w:noVBand="1" w:val="04A0"/>
        <w:tblLayout w:type="fixed"/>
      </w:tblPr>
      <w:tblGrid>
        <w:gridCol w:w="3402"/>
        <w:gridCol w:w="11169"/>
      </w:tblGrid>
      <w:tr>
        <w:trPr>
          <w:tblHeader w:val="true"/>
        </w:trPr>
        <w:tc>
          <w:tcPr>
            <w:tcW w:type="dxa" w:w="3402"/>
            <w:shd w:val="clear" w:color="auto" w:fill="1F4E9A"/>
          </w:tcPr>
          <w:p>
            <w:pPr>
              <w:jc w:val="center"/>
            </w:pPr>
            <w:r>
              <w:rPr>
                <w:b/>
                <w:color w:val="FFFFFF"/>
                <w:sz w:val="24"/>
              </w:rPr>
              <w:t>Campo</w:t>
            </w:r>
          </w:p>
        </w:tc>
        <w:tc>
          <w:tcPr>
            <w:tcW w:type="dxa" w:w="11169"/>
            <w:shd w:val="clear" w:color="auto" w:fill="1F4E9A"/>
          </w:tcPr>
          <w:p>
            <w:pPr>
              <w:jc w:val="center"/>
            </w:pPr>
            <w:r>
              <w:rPr>
                <w:b/>
                <w:color w:val="FFFFFF"/>
                <w:sz w:val="24"/>
              </w:rPr>
              <w:t>Informação</w:t>
            </w:r>
          </w:p>
        </w:tc>
      </w:tr>
      <w:tr>
        <w:tc>
          <w:tcPr>
            <w:tcW w:type="dxa" w:w="3402"/>
          </w:tcPr>
          <w:p>
            <w:pPr>
              <w:jc w:val="left"/>
            </w:pPr>
            <w:r>
              <w:rPr>
                <w:b w:val="0"/>
                <w:sz w:val="24"/>
              </w:rPr>
              <w:t>Autoria</w:t>
            </w:r>
          </w:p>
        </w:tc>
        <w:tc>
          <w:tcPr>
            <w:tcW w:type="dxa" w:w="11169"/>
          </w:tcPr>
          <w:p>
            <w:pPr>
              <w:jc w:val="both"/>
            </w:pPr>
            <w:r>
              <w:rPr>
                <w:b w:val="0"/>
                <w:sz w:val="24"/>
              </w:rPr>
              <w:t>Claude (assistente de IA da Anthropic), a pedido do usuário</w:t>
            </w:r>
          </w:p>
        </w:tc>
      </w:tr>
      <w:tr>
        <w:tc>
          <w:tcPr>
            <w:tcW w:type="dxa" w:w="3402"/>
            <w:shd w:val="clear" w:color="auto" w:fill="DCE6F2"/>
          </w:tcPr>
          <w:p>
            <w:pPr>
              <w:jc w:val="left"/>
            </w:pPr>
            <w:r>
              <w:rPr>
                <w:b w:val="0"/>
                <w:sz w:val="24"/>
              </w:rPr>
              <w:t>Data e hora</w:t>
            </w:r>
          </w:p>
        </w:tc>
        <w:tc>
          <w:tcPr>
            <w:tcW w:type="dxa" w:w="11169"/>
            <w:shd w:val="clear" w:color="auto" w:fill="DCE6F2"/>
          </w:tcPr>
          <w:p>
            <w:pPr>
              <w:jc w:val="both"/>
            </w:pPr>
            <w:r>
              <w:rPr>
                <w:b w:val="0"/>
                <w:sz w:val="24"/>
              </w:rPr>
              <w:t>24/09/2026 19:52 (horário de Brasília)</w:t>
            </w:r>
          </w:p>
        </w:tc>
      </w:tr>
      <w:tr>
        <w:tc>
          <w:tcPr>
            <w:tcW w:type="dxa" w:w="3402"/>
          </w:tcPr>
          <w:p>
            <w:pPr>
              <w:jc w:val="left"/>
            </w:pPr>
            <w:r>
              <w:rPr>
                <w:b w:val="0"/>
                <w:sz w:val="24"/>
              </w:rPr>
              <w:t>Versão</w:t>
            </w:r>
          </w:p>
        </w:tc>
        <w:tc>
          <w:tcPr>
            <w:tcW w:type="dxa" w:w="11169"/>
          </w:tcPr>
          <w:p>
            <w:pPr>
              <w:jc w:val="both"/>
            </w:pPr>
            <w:r>
              <w:rPr>
                <w:b w:val="0"/>
                <w:sz w:val="24"/>
              </w:rPr>
              <w:t>v1</w:t>
            </w:r>
          </w:p>
        </w:tc>
      </w:tr>
      <w:tr>
        <w:tc>
          <w:tcPr>
            <w:tcW w:type="dxa" w:w="3402"/>
            <w:shd w:val="clear" w:color="auto" w:fill="DCE6F2"/>
          </w:tcPr>
          <w:p>
            <w:pPr>
              <w:jc w:val="left"/>
            </w:pPr>
            <w:r>
              <w:rPr>
                <w:b w:val="0"/>
                <w:sz w:val="24"/>
              </w:rPr>
              <w:t>Arquivo NORMAL (lido)</w:t>
            </w:r>
          </w:p>
        </w:tc>
        <w:tc>
          <w:tcPr>
            <w:tcW w:type="dxa" w:w="11169"/>
            <w:shd w:val="clear" w:color="auto" w:fill="DCE6F2"/>
          </w:tcPr>
          <w:p>
            <w:pPr>
              <w:jc w:val="both"/>
            </w:pPr>
            <w:r>
              <w:rPr>
                <w:b w:val="0"/>
                <w:sz w:val="24"/>
              </w:rPr>
              <w:t>NSCGJ - TOMO II - NORMAL - Válido a partir de 06012020 PROVIMENTO Nº 58 89.pdf</w:t>
            </w:r>
          </w:p>
          <w:p>
            <w:pPr>
              <w:jc w:val="both"/>
            </w:pPr>
            <w:r>
              <w:rPr>
                <w:b w:val="0"/>
                <w:sz w:val="24"/>
              </w:rPr>
              <w:t>Origem: Google Drive do usuário (download direto do TJSP bloqueado pela rede do ambiente). PDF gerado em 18/09/2026 (metadados: CreationDate 18/09/2026). 648 páginas.</w:t>
            </w:r>
          </w:p>
        </w:tc>
      </w:tr>
      <w:tr>
        <w:tc>
          <w:tcPr>
            <w:tcW w:type="dxa" w:w="3402"/>
          </w:tcPr>
          <w:p>
            <w:pPr>
              <w:jc w:val="left"/>
            </w:pPr>
            <w:r>
              <w:rPr>
                <w:b w:val="0"/>
                <w:sz w:val="24"/>
              </w:rPr>
              <w:t>Arquivo TACHADO (NÃO lido)</w:t>
            </w:r>
          </w:p>
        </w:tc>
        <w:tc>
          <w:tcPr>
            <w:tcW w:type="dxa" w:w="11169"/>
          </w:tcPr>
          <w:p>
            <w:pPr>
              <w:jc w:val="both"/>
            </w:pPr>
            <w:r>
              <w:rPr>
                <w:b w:val="0"/>
                <w:sz w:val="24"/>
              </w:rPr>
              <w:t>NSCGJ - TOMO II - NORMAL - Válido a partir de 06012020 PROVIMENTO Nº 58 89 tachado.pdf</w:t>
            </w:r>
          </w:p>
          <w:p>
            <w:pPr>
              <w:jc w:val="both"/>
            </w:pPr>
            <w:r>
              <w:rPr>
                <w:b w:val="0"/>
                <w:sz w:val="24"/>
              </w:rPr>
              <w:t>Google Drive do usuário, 7,3 MB. O download falhou em todas as tentativas (a conexão com o Drive caiu). A leitura em modo texto pelo Drive devolveu só o trecho inicial (~240 mil caracteres, até o Cap. XIII), sem marcação de texto riscado. Não foi usado.</w:t>
            </w:r>
          </w:p>
        </w:tc>
      </w:tr>
      <w:tr>
        <w:tc>
          <w:tcPr>
            <w:tcW w:type="dxa" w:w="3402"/>
            <w:shd w:val="clear" w:color="auto" w:fill="DCE6F2"/>
          </w:tcPr>
          <w:p>
            <w:pPr>
              <w:jc w:val="left"/>
            </w:pPr>
            <w:r>
              <w:rPr>
                <w:b w:val="0"/>
                <w:sz w:val="24"/>
              </w:rPr>
              <w:t>Total de páginas lidas</w:t>
            </w:r>
          </w:p>
        </w:tc>
        <w:tc>
          <w:tcPr>
            <w:tcW w:type="dxa" w:w="11169"/>
            <w:shd w:val="clear" w:color="auto" w:fill="DCE6F2"/>
          </w:tcPr>
          <w:p>
            <w:pPr>
              <w:jc w:val="both"/>
            </w:pPr>
            <w:r>
              <w:rPr>
                <w:b w:val="0"/>
                <w:sz w:val="24"/>
              </w:rPr>
              <w:t>NORMAL: 648 de 648 (100%), extraídas com pdftotext -layout. TACHADO: 0 (ver Pendências).</w:t>
            </w:r>
          </w:p>
        </w:tc>
      </w:tr>
      <w:tr>
        <w:tc>
          <w:tcPr>
            <w:tcW w:type="dxa" w:w="3402"/>
          </w:tcPr>
          <w:p>
            <w:pPr>
              <w:jc w:val="left"/>
            </w:pPr>
            <w:r>
              <w:rPr>
                <w:b w:val="0"/>
                <w:sz w:val="24"/>
              </w:rPr>
              <w:t>Método</w:t>
            </w:r>
          </w:p>
        </w:tc>
        <w:tc>
          <w:tcPr>
            <w:tcW w:type="dxa" w:w="11169"/>
          </w:tcPr>
          <w:p>
            <w:pPr>
              <w:jc w:val="both"/>
            </w:pPr>
            <w:r>
              <w:rPr>
                <w:b w:val="0"/>
                <w:sz w:val="24"/>
              </w:rPr>
              <w:t>Texto extraído com pdftotext -layout; varredura de palavras-chave sem distinção de maiúsculas/acentos em todas as 648 páginas; transcrição literal do texto extraído, com as quebras de linha do PDF unidas.</w:t>
            </w:r>
          </w:p>
        </w:tc>
      </w:tr>
    </w:tbl>
    <w:p>
      <w:pPr>
        <w:pStyle w:val="Heading1"/>
      </w:pPr>
      <w:r>
        <w:t>2. Convenções</w:t>
      </w:r>
    </w:p>
    <w:p>
      <w:pPr>
        <w:pStyle w:val="ListBullet"/>
      </w:pPr>
      <w:r>
        <w:t>Transcrição literal do NORMAL. Os números sobrescritos são as chamadas de nota de rodapé do próprio PDF; o texto de cada nota está na coluna “Nota de rodapé/provimento”.</w:t>
      </w:r>
    </w:p>
    <w:p>
      <w:pPr>
        <w:pStyle w:val="ListBullet"/>
      </w:pPr>
      <w:r>
        <w:t>“[…]” indica alíneas ou incisos do mesmo item omitidos por não tratarem do tema. Nenhum trecho foi resumido ou parafraseado.</w:t>
      </w:r>
    </w:p>
    <w:p>
      <w:pPr>
        <w:pStyle w:val="ListBullet"/>
      </w:pPr>
      <w:r>
        <w:t>“Página” traz a página física do PDF e, entre parênteses, a página impressa no rodapé (numeração impressa = página do PDF + 2).</w:t>
      </w:r>
    </w:p>
    <w:p>
      <w:pPr>
        <w:pStyle w:val="Heading1"/>
      </w:pPr>
      <w:r>
        <w:t>3. Dispositivos encontrados (arquivo NORMAL)</w:t>
      </w:r>
    </w:p>
    <w:p>
      <w:pPr>
        <w:pStyle w:val="Heading2"/>
      </w:pPr>
      <w:r>
        <w:t>3.1. Capítulo XVI – Do Tabelionato de Notas</w:t>
      </w:r>
    </w:p>
    <w:p>
      <w:pPr>
        <w:pStyle w:val="Heading3"/>
      </w:pPr>
      <w:r>
        <w:t>Arquivamento (Seção dos Arquivos), Escrituras Relativas a Bens Imóveis, Imóveis Rurais e Inventário</w:t>
      </w:r>
    </w:p>
    <w:tbl>
      <w:tblPr>
        <w:tblStyle w:val="TableGrid"/>
        <w:tblW w:type="auto" w:w="0"/>
        <w:tblLayout w:type="fixed"/>
        <w:tblLook w:firstColumn="1" w:firstRow="1" w:lastColumn="0" w:lastRow="0" w:noHBand="0" w:noVBand="1" w:val="04A0"/>
        <w:tblLayout w:type="fixed"/>
      </w:tblPr>
      <w:tblGrid>
        <w:gridCol w:w="1417"/>
        <w:gridCol w:w="1587"/>
        <w:gridCol w:w="6633"/>
        <w:gridCol w:w="2608"/>
        <w:gridCol w:w="2324"/>
      </w:tblGrid>
      <w:tr>
        <w:trPr>
          <w:tblHeader w:val="true"/>
        </w:trPr>
        <w:tc>
          <w:tcPr>
            <w:tcW w:type="dxa" w:w="1417"/>
            <w:shd w:val="clear" w:color="auto" w:fill="1F4E9A"/>
          </w:tcPr>
          <w:p>
            <w:pPr>
              <w:jc w:val="center"/>
            </w:pPr>
            <w:r>
              <w:rPr>
                <w:b/>
                <w:color w:val="FFFFFF"/>
                <w:sz w:val="24"/>
              </w:rPr>
              <w:t>Capítulo</w:t>
            </w:r>
          </w:p>
        </w:tc>
        <w:tc>
          <w:tcPr>
            <w:tcW w:type="dxa" w:w="1587"/>
            <w:shd w:val="clear" w:color="auto" w:fill="1F4E9A"/>
          </w:tcPr>
          <w:p>
            <w:pPr>
              <w:jc w:val="center"/>
            </w:pPr>
            <w:r>
              <w:rPr>
                <w:b/>
                <w:color w:val="FFFFFF"/>
                <w:sz w:val="24"/>
              </w:rPr>
              <w:t>Item</w:t>
            </w:r>
          </w:p>
        </w:tc>
        <w:tc>
          <w:tcPr>
            <w:tcW w:type="dxa" w:w="6633"/>
            <w:shd w:val="clear" w:color="auto" w:fill="1F4E9A"/>
          </w:tcPr>
          <w:p>
            <w:pPr>
              <w:jc w:val="center"/>
            </w:pPr>
            <w:r>
              <w:rPr>
                <w:b/>
                <w:color w:val="FFFFFF"/>
                <w:sz w:val="24"/>
              </w:rPr>
              <w:t>Transcrição literal</w:t>
            </w:r>
          </w:p>
        </w:tc>
        <w:tc>
          <w:tcPr>
            <w:tcW w:type="dxa" w:w="2608"/>
            <w:shd w:val="clear" w:color="auto" w:fill="1F4E9A"/>
          </w:tcPr>
          <w:p>
            <w:pPr>
              <w:jc w:val="center"/>
            </w:pPr>
            <w:r>
              <w:rPr>
                <w:b/>
                <w:color w:val="FFFFFF"/>
                <w:sz w:val="24"/>
              </w:rPr>
              <w:t>Nota de rodapé/provimento</w:t>
            </w:r>
          </w:p>
        </w:tc>
        <w:tc>
          <w:tcPr>
            <w:tcW w:type="dxa" w:w="2324"/>
            <w:shd w:val="clear" w:color="auto" w:fill="1F4E9A"/>
          </w:tcPr>
          <w:p>
            <w:pPr>
              <w:jc w:val="center"/>
            </w:pPr>
            <w:r>
              <w:rPr>
                <w:b/>
                <w:color w:val="FFFFFF"/>
                <w:sz w:val="24"/>
              </w:rPr>
              <w:t>Alterado recentemente?</w:t>
            </w:r>
          </w:p>
        </w:tc>
      </w:tr>
      <w:tr>
        <w:tc>
          <w:tcPr>
            <w:tcW w:type="dxa" w:w="1417"/>
          </w:tcPr>
          <w:p>
            <w:pPr>
              <w:jc w:val="left"/>
            </w:pPr>
            <w:r>
              <w:rPr>
                <w:b w:val="0"/>
                <w:sz w:val="24"/>
              </w:rPr>
              <w:t>Cap. XVI</w:t>
            </w:r>
          </w:p>
        </w:tc>
        <w:tc>
          <w:tcPr>
            <w:tcW w:type="dxa" w:w="1587"/>
          </w:tcPr>
          <w:p>
            <w:pPr>
              <w:jc w:val="left"/>
            </w:pPr>
            <w:r>
              <w:rPr>
                <w:b w:val="0"/>
                <w:sz w:val="24"/>
              </w:rPr>
              <w:t>15, a</w:t>
            </w:r>
          </w:p>
          <w:p>
            <w:pPr>
              <w:jc w:val="left"/>
            </w:pPr>
            <w:r>
              <w:rPr>
                <w:b w:val="0"/>
                <w:sz w:val="24"/>
              </w:rPr>
              <w:t>Página 180 (182)</w:t>
            </w:r>
          </w:p>
        </w:tc>
        <w:tc>
          <w:tcPr>
            <w:tcW w:type="dxa" w:w="6633"/>
          </w:tcPr>
          <w:p>
            <w:pPr>
              <w:jc w:val="both"/>
            </w:pPr>
            <w:r>
              <w:rPr>
                <w:b w:val="0"/>
                <w:sz w:val="24"/>
              </w:rPr>
              <w:t>15. O Tabelião de Notas manterá arquivos para os seguintes documentos necessários à lavratura dos atos notariais, em papel, microfilme ou documento eletrônico: […] a) em relação aos imóveis rurais, Certificado de Cadastro do Imóvel Rural – CCIR emitido pelo Instituto Nacional de Colonização e Reforma Agrária – INCRA, com a prova de quitação do Imposto sobre a Propriedade Territorial Rural – ITR correspondente aos últimos cinco anos;</w:t>
            </w:r>
            <w:r>
              <w:rPr>
                <w:b w:val="0"/>
                <w:sz w:val="24"/>
                <w:vertAlign w:val="superscript"/>
              </w:rPr>
              <w:t>495</w:t>
            </w:r>
          </w:p>
        </w:tc>
        <w:tc>
          <w:tcPr>
            <w:tcW w:type="dxa" w:w="2608"/>
          </w:tcPr>
          <w:p>
            <w:pPr>
              <w:jc w:val="left"/>
            </w:pPr>
            <w:r>
              <w:rPr>
                <w:b w:val="0"/>
                <w:sz w:val="24"/>
              </w:rPr>
              <w:t>495: Prov. CGJ 7/13.</w:t>
            </w:r>
          </w:p>
        </w:tc>
        <w:tc>
          <w:tcPr>
            <w:tcW w:type="dxa" w:w="2324"/>
          </w:tcPr>
          <w:p>
            <w:pPr>
              <w:jc w:val="left"/>
            </w:pPr>
            <w:r>
              <w:rPr>
                <w:b w:val="0"/>
                <w:sz w:val="24"/>
              </w:rPr>
              <w:t>Não verificado (TACHADO pendente). Nenhuma nota do NORMAL cita provimento posterior a 08/2025.</w:t>
            </w:r>
          </w:p>
        </w:tc>
      </w:tr>
      <w:tr>
        <w:tc>
          <w:tcPr>
            <w:tcW w:type="dxa" w:w="1417"/>
            <w:shd w:val="clear" w:color="auto" w:fill="DCE6F2"/>
          </w:tcPr>
          <w:p>
            <w:pPr>
              <w:jc w:val="left"/>
            </w:pPr>
            <w:r>
              <w:rPr>
                <w:b w:val="0"/>
                <w:sz w:val="24"/>
              </w:rPr>
              <w:t>Cap. XVI</w:t>
            </w:r>
          </w:p>
        </w:tc>
        <w:tc>
          <w:tcPr>
            <w:tcW w:type="dxa" w:w="1587"/>
            <w:shd w:val="clear" w:color="auto" w:fill="DCE6F2"/>
          </w:tcPr>
          <w:p>
            <w:pPr>
              <w:jc w:val="left"/>
            </w:pPr>
            <w:r>
              <w:rPr>
                <w:b w:val="0"/>
                <w:sz w:val="24"/>
              </w:rPr>
              <w:t>17, d</w:t>
            </w:r>
          </w:p>
          <w:p>
            <w:pPr>
              <w:jc w:val="left"/>
            </w:pPr>
            <w:r>
              <w:rPr>
                <w:b w:val="0"/>
                <w:sz w:val="24"/>
              </w:rPr>
              <w:t>Página 181, 182 (183, 184)</w:t>
            </w:r>
          </w:p>
        </w:tc>
        <w:tc>
          <w:tcPr>
            <w:tcW w:type="dxa" w:w="6633"/>
            <w:shd w:val="clear" w:color="auto" w:fill="DCE6F2"/>
          </w:tcPr>
          <w:p>
            <w:pPr>
              <w:jc w:val="both"/>
            </w:pPr>
            <w:r>
              <w:rPr>
                <w:b w:val="0"/>
                <w:sz w:val="24"/>
              </w:rPr>
              <w:t>17. O Tabelião de Notas, se conservados microfilmes ou imagens gravadas por processo eletrônico, poderá inutilizar: […] d) em 6 (seis) anos, as certidões expedidas pelo Instituto Nacional do Seguro Social – INSS, pela RFB ou por outros órgãos públicos e as suas cópias autenticadas; os comprovantes de pagamento dos tributos relativos aos atos lavrados, os termos de reconhecimento de imunidade, isenção ou não incidência e suas cópias autenticadas; os comprovantes de pagamento do laudêmio; os CCIRs e os comprovantes de pagamento do ITR;</w:t>
            </w:r>
          </w:p>
        </w:tc>
        <w:tc>
          <w:tcPr>
            <w:tcW w:type="dxa" w:w="2608"/>
            <w:shd w:val="clear" w:color="auto" w:fill="DCE6F2"/>
          </w:tcPr>
          <w:p>
            <w:pPr>
              <w:jc w:val="left"/>
            </w:pPr>
            <w:r>
              <w:rPr>
                <w:b w:val="0"/>
                <w:sz w:val="24"/>
              </w:rPr>
              <w:t>Sem chamada de nota de rodapé no trecho transcrito.</w:t>
            </w:r>
          </w:p>
        </w:tc>
        <w:tc>
          <w:tcPr>
            <w:tcW w:type="dxa" w:w="2324"/>
            <w:shd w:val="clear" w:color="auto" w:fill="DCE6F2"/>
          </w:tcPr>
          <w:p>
            <w:pPr>
              <w:jc w:val="left"/>
            </w:pPr>
            <w:r>
              <w:rPr>
                <w:b w:val="0"/>
                <w:sz w:val="24"/>
              </w:rPr>
              <w:t>Não verificado (TACHADO pendente). Nenhuma nota do NORMAL cita provimento posterior a 08/2025.</w:t>
            </w:r>
          </w:p>
        </w:tc>
      </w:tr>
      <w:tr>
        <w:tc>
          <w:tcPr>
            <w:tcW w:type="dxa" w:w="1417"/>
          </w:tcPr>
          <w:p>
            <w:pPr>
              <w:jc w:val="left"/>
            </w:pPr>
            <w:r>
              <w:rPr>
                <w:b w:val="0"/>
                <w:sz w:val="24"/>
              </w:rPr>
              <w:t>Cap. XVI</w:t>
            </w:r>
          </w:p>
        </w:tc>
        <w:tc>
          <w:tcPr>
            <w:tcW w:type="dxa" w:w="1587"/>
          </w:tcPr>
          <w:p>
            <w:pPr>
              <w:jc w:val="left"/>
            </w:pPr>
            <w:r>
              <w:rPr>
                <w:b w:val="0"/>
                <w:sz w:val="24"/>
              </w:rPr>
              <w:t>31.1</w:t>
            </w:r>
          </w:p>
          <w:p>
            <w:pPr>
              <w:jc w:val="left"/>
            </w:pPr>
            <w:r>
              <w:rPr>
                <w:b w:val="0"/>
                <w:sz w:val="24"/>
              </w:rPr>
              <w:t>Página 185 (187)</w:t>
            </w:r>
          </w:p>
        </w:tc>
        <w:tc>
          <w:tcPr>
            <w:tcW w:type="dxa" w:w="6633"/>
          </w:tcPr>
          <w:p>
            <w:pPr>
              <w:jc w:val="both"/>
            </w:pPr>
            <w:r>
              <w:rPr>
                <w:b w:val="0"/>
                <w:sz w:val="24"/>
              </w:rPr>
              <w:t>31.1. Caso se faça o arquivamento previsto no item 15, deverão ser mantidos ainda, arquivos para:</w:t>
            </w:r>
            <w:r>
              <w:rPr>
                <w:b w:val="0"/>
                <w:sz w:val="24"/>
                <w:vertAlign w:val="superscript"/>
              </w:rPr>
              <w:t>532</w:t>
            </w:r>
            <w:r>
              <w:rPr>
                <w:b w:val="0"/>
                <w:sz w:val="24"/>
              </w:rPr>
              <w:t xml:space="preserve"> a) certidões dos tributos municipais; b) certificados de cadastro do INCRA e prova de quitação do Imposto Territorial Rural; c) certidões de ações reais e pessoais reipersecutórias; d) suprimido.</w:t>
            </w:r>
            <w:r>
              <w:rPr>
                <w:b w:val="0"/>
                <w:sz w:val="24"/>
                <w:vertAlign w:val="superscript"/>
              </w:rPr>
              <w:t>533</w:t>
            </w:r>
          </w:p>
        </w:tc>
        <w:tc>
          <w:tcPr>
            <w:tcW w:type="dxa" w:w="2608"/>
          </w:tcPr>
          <w:p>
            <w:pPr>
              <w:jc w:val="left"/>
            </w:pPr>
            <w:r>
              <w:rPr>
                <w:b w:val="0"/>
                <w:sz w:val="24"/>
              </w:rPr>
              <w:t>532: Proc. CG 2022/16159.</w:t>
            </w:r>
          </w:p>
          <w:p>
            <w:pPr>
              <w:jc w:val="left"/>
            </w:pPr>
            <w:r>
              <w:rPr>
                <w:b w:val="0"/>
                <w:sz w:val="24"/>
              </w:rPr>
              <w:t>533: Provs. CGJ 13/94 e 40/12.</w:t>
            </w:r>
          </w:p>
        </w:tc>
        <w:tc>
          <w:tcPr>
            <w:tcW w:type="dxa" w:w="2324"/>
          </w:tcPr>
          <w:p>
            <w:pPr>
              <w:jc w:val="left"/>
            </w:pPr>
            <w:r>
              <w:rPr>
                <w:b w:val="0"/>
                <w:sz w:val="24"/>
              </w:rPr>
              <w:t>Não verificado (TACHADO pendente). Nenhuma nota do NORMAL cita provimento posterior a 08/2025.</w:t>
            </w:r>
          </w:p>
        </w:tc>
      </w:tr>
      <w:tr>
        <w:tc>
          <w:tcPr>
            <w:tcW w:type="dxa" w:w="1417"/>
            <w:shd w:val="clear" w:color="auto" w:fill="DCE6F2"/>
          </w:tcPr>
          <w:p>
            <w:pPr>
              <w:jc w:val="left"/>
            </w:pPr>
            <w:r>
              <w:rPr>
                <w:b w:val="0"/>
                <w:sz w:val="24"/>
              </w:rPr>
              <w:t>Cap. XVI</w:t>
            </w:r>
          </w:p>
        </w:tc>
        <w:tc>
          <w:tcPr>
            <w:tcW w:type="dxa" w:w="1587"/>
            <w:shd w:val="clear" w:color="auto" w:fill="DCE6F2"/>
          </w:tcPr>
          <w:p>
            <w:pPr>
              <w:jc w:val="left"/>
            </w:pPr>
            <w:r>
              <w:rPr>
                <w:b w:val="0"/>
                <w:sz w:val="24"/>
              </w:rPr>
              <w:t>43</w:t>
            </w:r>
          </w:p>
          <w:p>
            <w:pPr>
              <w:jc w:val="left"/>
            </w:pPr>
            <w:r>
              <w:rPr>
                <w:b w:val="0"/>
                <w:sz w:val="24"/>
              </w:rPr>
              <w:t>Página 189 (191)</w:t>
            </w:r>
          </w:p>
        </w:tc>
        <w:tc>
          <w:tcPr>
            <w:tcW w:type="dxa" w:w="6633"/>
            <w:shd w:val="clear" w:color="auto" w:fill="DCE6F2"/>
          </w:tcPr>
          <w:p>
            <w:pPr>
              <w:jc w:val="both"/>
            </w:pPr>
            <w:r>
              <w:rPr>
                <w:b w:val="0"/>
                <w:sz w:val="24"/>
              </w:rPr>
              <w:t>43. O Tabelião de Notas deve cientificar as partes envolvidas de que é possível obter, nos termos do art 642-A da Consolidação das Leis do Trabalho – CLT, a Certidão Negativa de Débitos Trabalhistas – CNDT, nas seguintes hipóteses: a) alienação ou oneração, a qualquer título, de bem imóvel ou direito a ele relativo; b) partilha de bens imóveis em razão de separação, divórcio ou união estável.</w:t>
            </w:r>
            <w:r>
              <w:rPr>
                <w:b w:val="0"/>
                <w:sz w:val="24"/>
                <w:vertAlign w:val="superscript"/>
              </w:rPr>
              <w:t>548</w:t>
            </w:r>
          </w:p>
        </w:tc>
        <w:tc>
          <w:tcPr>
            <w:tcW w:type="dxa" w:w="2608"/>
            <w:shd w:val="clear" w:color="auto" w:fill="DCE6F2"/>
          </w:tcPr>
          <w:p>
            <w:pPr>
              <w:jc w:val="left"/>
            </w:pPr>
            <w:r>
              <w:rPr>
                <w:b w:val="0"/>
                <w:sz w:val="24"/>
              </w:rPr>
              <w:t>548: L. 5.709/7l, art. 3º e Provs. CG 14/2012 e 40/12.</w:t>
            </w:r>
          </w:p>
        </w:tc>
        <w:tc>
          <w:tcPr>
            <w:tcW w:type="dxa" w:w="2324"/>
            <w:shd w:val="clear" w:color="auto" w:fill="DCE6F2"/>
          </w:tcPr>
          <w:p>
            <w:pPr>
              <w:jc w:val="left"/>
            </w:pPr>
            <w:r>
              <w:rPr>
                <w:b w:val="0"/>
                <w:sz w:val="24"/>
              </w:rPr>
              <w:t>Não verificado (TACHADO pendente). Nenhuma nota do NORMAL cita provimento posterior a 08/2025.</w:t>
            </w:r>
          </w:p>
        </w:tc>
      </w:tr>
      <w:tr>
        <w:tc>
          <w:tcPr>
            <w:tcW w:type="dxa" w:w="1417"/>
          </w:tcPr>
          <w:p>
            <w:pPr>
              <w:jc w:val="left"/>
            </w:pPr>
            <w:r>
              <w:rPr>
                <w:b w:val="0"/>
                <w:sz w:val="24"/>
              </w:rPr>
              <w:t>Cap. XVI</w:t>
            </w:r>
          </w:p>
        </w:tc>
        <w:tc>
          <w:tcPr>
            <w:tcW w:type="dxa" w:w="1587"/>
          </w:tcPr>
          <w:p>
            <w:pPr>
              <w:jc w:val="left"/>
            </w:pPr>
            <w:r>
              <w:rPr>
                <w:b w:val="0"/>
                <w:sz w:val="24"/>
              </w:rPr>
              <w:t>60, caput e a.1</w:t>
            </w:r>
          </w:p>
          <w:p>
            <w:pPr>
              <w:jc w:val="left"/>
            </w:pPr>
            <w:r>
              <w:rPr>
                <w:b w:val="0"/>
                <w:sz w:val="24"/>
              </w:rPr>
              <w:t>Página 196 (198)</w:t>
            </w:r>
          </w:p>
        </w:tc>
        <w:tc>
          <w:tcPr>
            <w:tcW w:type="dxa" w:w="6633"/>
          </w:tcPr>
          <w:p>
            <w:pPr>
              <w:jc w:val="both"/>
            </w:pPr>
            <w:r>
              <w:rPr>
                <w:b w:val="0"/>
                <w:sz w:val="24"/>
              </w:rPr>
              <w:t>60. As escrituras relativas a bens imóveis e direitos reais a eles relativos devem conter, ainda: a.1) para imóveis rurais georreferenciados, o número do registro ou matrícula no Registro de Imóveis, sua localização, denominação, área total, o número do cadastro no INCRA constante do Certificado de Cadastro de Imóvel Rural (CCIR) e o Número de Imóvel Rural na Receita Federal (NIRF), enquanto para os demais imóveis rurais, particularmente os não georreferenciados e os objeto de transcrição, a descrição deve ser integral e pormenorizada, com referência precisa, inclusive, aos seus característicos e confrontações;</w:t>
            </w:r>
            <w:r>
              <w:rPr>
                <w:b w:val="0"/>
                <w:sz w:val="24"/>
                <w:vertAlign w:val="superscript"/>
              </w:rPr>
              <w:t>570</w:t>
            </w:r>
          </w:p>
        </w:tc>
        <w:tc>
          <w:tcPr>
            <w:tcW w:type="dxa" w:w="2608"/>
          </w:tcPr>
          <w:p>
            <w:pPr>
              <w:jc w:val="left"/>
            </w:pPr>
            <w:r>
              <w:rPr>
                <w:b w:val="0"/>
                <w:sz w:val="24"/>
              </w:rPr>
              <w:t>570: Prov. CG nº 24/2013.</w:t>
            </w:r>
          </w:p>
        </w:tc>
        <w:tc>
          <w:tcPr>
            <w:tcW w:type="dxa" w:w="2324"/>
          </w:tcPr>
          <w:p>
            <w:pPr>
              <w:jc w:val="left"/>
            </w:pPr>
            <w:r>
              <w:rPr>
                <w:b w:val="0"/>
                <w:sz w:val="24"/>
              </w:rPr>
              <w:t>Não verificado (TACHADO pendente). Nenhuma nota do NORMAL cita provimento posterior a 08/2025.</w:t>
            </w:r>
          </w:p>
        </w:tc>
      </w:tr>
      <w:tr>
        <w:tc>
          <w:tcPr>
            <w:tcW w:type="dxa" w:w="1417"/>
            <w:shd w:val="clear" w:color="auto" w:fill="DCE6F2"/>
          </w:tcPr>
          <w:p>
            <w:pPr>
              <w:jc w:val="left"/>
            </w:pPr>
            <w:r>
              <w:rPr>
                <w:b w:val="0"/>
                <w:sz w:val="24"/>
              </w:rPr>
              <w:t>Cap. XVI</w:t>
            </w:r>
          </w:p>
        </w:tc>
        <w:tc>
          <w:tcPr>
            <w:tcW w:type="dxa" w:w="1587"/>
            <w:shd w:val="clear" w:color="auto" w:fill="DCE6F2"/>
          </w:tcPr>
          <w:p>
            <w:pPr>
              <w:jc w:val="left"/>
            </w:pPr>
            <w:r>
              <w:rPr>
                <w:b w:val="0"/>
                <w:sz w:val="24"/>
              </w:rPr>
              <w:t>60, f</w:t>
            </w:r>
          </w:p>
          <w:p>
            <w:pPr>
              <w:jc w:val="left"/>
            </w:pPr>
            <w:r>
              <w:rPr>
                <w:b w:val="0"/>
                <w:sz w:val="24"/>
              </w:rPr>
              <w:t>Página 196, 197 (198, 199)</w:t>
            </w:r>
          </w:p>
        </w:tc>
        <w:tc>
          <w:tcPr>
            <w:tcW w:type="dxa" w:w="6633"/>
            <w:shd w:val="clear" w:color="auto" w:fill="DCE6F2"/>
          </w:tcPr>
          <w:p>
            <w:pPr>
              <w:jc w:val="both"/>
            </w:pPr>
            <w:r>
              <w:rPr>
                <w:b w:val="0"/>
                <w:sz w:val="24"/>
              </w:rPr>
              <w:t>f) prova da quitação de tributos municipais, ou a dispensa expressa pelo adquirente, que, neste caso, deverá declarar que se responsabiliza pelo pagamento dos débitos fiscais existentes;</w:t>
            </w:r>
          </w:p>
        </w:tc>
        <w:tc>
          <w:tcPr>
            <w:tcW w:type="dxa" w:w="2608"/>
            <w:shd w:val="clear" w:color="auto" w:fill="DCE6F2"/>
          </w:tcPr>
          <w:p>
            <w:pPr>
              <w:jc w:val="left"/>
            </w:pPr>
            <w:r>
              <w:rPr>
                <w:b w:val="0"/>
                <w:sz w:val="24"/>
              </w:rPr>
              <w:t>Sem chamada de nota de rodapé no trecho transcrito.</w:t>
            </w:r>
          </w:p>
        </w:tc>
        <w:tc>
          <w:tcPr>
            <w:tcW w:type="dxa" w:w="2324"/>
            <w:shd w:val="clear" w:color="auto" w:fill="DCE6F2"/>
          </w:tcPr>
          <w:p>
            <w:pPr>
              <w:jc w:val="left"/>
            </w:pPr>
            <w:r>
              <w:rPr>
                <w:b w:val="0"/>
                <w:sz w:val="24"/>
              </w:rPr>
              <w:t>Não verificado (TACHADO pendente). Nenhuma nota do NORMAL cita provimento posterior a 08/2025.</w:t>
            </w:r>
          </w:p>
        </w:tc>
      </w:tr>
      <w:tr>
        <w:tc>
          <w:tcPr>
            <w:tcW w:type="dxa" w:w="1417"/>
          </w:tcPr>
          <w:p>
            <w:pPr>
              <w:jc w:val="left"/>
            </w:pPr>
            <w:r>
              <w:rPr>
                <w:b w:val="0"/>
                <w:sz w:val="24"/>
              </w:rPr>
              <w:t>Cap. XVI</w:t>
            </w:r>
          </w:p>
        </w:tc>
        <w:tc>
          <w:tcPr>
            <w:tcW w:type="dxa" w:w="1587"/>
          </w:tcPr>
          <w:p>
            <w:pPr>
              <w:jc w:val="left"/>
            </w:pPr>
            <w:r>
              <w:rPr>
                <w:b w:val="0"/>
                <w:sz w:val="24"/>
              </w:rPr>
              <w:t>60, h</w:t>
            </w:r>
          </w:p>
          <w:p>
            <w:pPr>
              <w:jc w:val="left"/>
            </w:pPr>
            <w:r>
              <w:rPr>
                <w:b w:val="0"/>
                <w:sz w:val="24"/>
              </w:rPr>
              <w:t>Página 197 (199)</w:t>
            </w:r>
          </w:p>
        </w:tc>
        <w:tc>
          <w:tcPr>
            <w:tcW w:type="dxa" w:w="6633"/>
          </w:tcPr>
          <w:p>
            <w:pPr>
              <w:jc w:val="both"/>
            </w:pPr>
            <w:r>
              <w:rPr>
                <w:b w:val="0"/>
                <w:sz w:val="24"/>
              </w:rPr>
              <w:t>h) indicação das certidões do INSS, da Secretaria da Receita Federal e de órgãos públicos, quando exigidas por lei, ou, se as partes não estiverem sujeitas às contribuições devidas à Seguridade Social ou forem dispensadas por lei, a declaração desta circunstância, sob as penas da lei;</w:t>
            </w:r>
          </w:p>
        </w:tc>
        <w:tc>
          <w:tcPr>
            <w:tcW w:type="dxa" w:w="2608"/>
          </w:tcPr>
          <w:p>
            <w:pPr>
              <w:jc w:val="left"/>
            </w:pPr>
            <w:r>
              <w:rPr>
                <w:b w:val="0"/>
                <w:sz w:val="24"/>
              </w:rPr>
              <w:t>Sem chamada de nota de rodapé no trecho transcrito.</w:t>
            </w:r>
          </w:p>
        </w:tc>
        <w:tc>
          <w:tcPr>
            <w:tcW w:type="dxa" w:w="2324"/>
          </w:tcPr>
          <w:p>
            <w:pPr>
              <w:jc w:val="left"/>
            </w:pPr>
            <w:r>
              <w:rPr>
                <w:b w:val="0"/>
                <w:sz w:val="24"/>
              </w:rPr>
              <w:t>Não verificado (TACHADO pendente). Nenhuma nota do NORMAL cita provimento posterior a 08/2025.</w:t>
            </w:r>
          </w:p>
        </w:tc>
      </w:tr>
      <w:tr>
        <w:tc>
          <w:tcPr>
            <w:tcW w:type="dxa" w:w="1417"/>
            <w:shd w:val="clear" w:color="auto" w:fill="DCE6F2"/>
          </w:tcPr>
          <w:p>
            <w:pPr>
              <w:jc w:val="left"/>
            </w:pPr>
            <w:r>
              <w:rPr>
                <w:b w:val="0"/>
                <w:sz w:val="24"/>
              </w:rPr>
              <w:t>Cap. XVI</w:t>
            </w:r>
          </w:p>
        </w:tc>
        <w:tc>
          <w:tcPr>
            <w:tcW w:type="dxa" w:w="1587"/>
            <w:shd w:val="clear" w:color="auto" w:fill="DCE6F2"/>
          </w:tcPr>
          <w:p>
            <w:pPr>
              <w:jc w:val="left"/>
            </w:pPr>
            <w:r>
              <w:rPr>
                <w:b w:val="0"/>
                <w:sz w:val="24"/>
              </w:rPr>
              <w:t>60.2</w:t>
            </w:r>
          </w:p>
          <w:p>
            <w:pPr>
              <w:jc w:val="left"/>
            </w:pPr>
            <w:r>
              <w:rPr>
                <w:b w:val="0"/>
                <w:sz w:val="24"/>
              </w:rPr>
              <w:t>Página 198 (200)</w:t>
            </w:r>
          </w:p>
        </w:tc>
        <w:tc>
          <w:tcPr>
            <w:tcW w:type="dxa" w:w="6633"/>
            <w:shd w:val="clear" w:color="auto" w:fill="DCE6F2"/>
          </w:tcPr>
          <w:p>
            <w:pPr>
              <w:jc w:val="both"/>
            </w:pPr>
            <w:r>
              <w:rPr>
                <w:b w:val="0"/>
                <w:sz w:val="24"/>
              </w:rPr>
              <w:t>60.2. Nada obstante o previsto no art. 47, I, b, da Lei n. 8.212, de 24 de julho de 1991, faculta-se aos Tabeliães de Notas, por ocasião da qualificação notarial, dispensar, nas situações tratadas nos dispositivos legais aludidos, a exibição das certidões negativas de débitos emitidas pelo INSS e pela Secretaria da Receita Federal do Brasil e da certidão conjunta negativa de débitos relativos aos tributos federais e à dívida ativa da União emitida pela Secretaria da Receita Federal do Brasil e pela Procuradoria-Geral da Fazenda Nacional, tendo em vista os precedentes do Conselho Superior da Magistratura do Tribunal de Justiça de São Paulo no sentido de inexistir justificativa razoável para condicionar o registro de títulos à prévia comprovação da quitação de créditos tributários, contribuições sociais e outras imposições pecuniárias compulsória.</w:t>
            </w:r>
            <w:r>
              <w:rPr>
                <w:b w:val="0"/>
                <w:sz w:val="24"/>
                <w:vertAlign w:val="superscript"/>
              </w:rPr>
              <w:t>578</w:t>
            </w:r>
          </w:p>
        </w:tc>
        <w:tc>
          <w:tcPr>
            <w:tcW w:type="dxa" w:w="2608"/>
            <w:shd w:val="clear" w:color="auto" w:fill="DCE6F2"/>
          </w:tcPr>
          <w:p>
            <w:pPr>
              <w:jc w:val="left"/>
            </w:pPr>
            <w:r>
              <w:rPr>
                <w:b w:val="0"/>
                <w:sz w:val="24"/>
              </w:rPr>
              <w:t>578: Prov. CGJ 7/13 e Proc. CG 2022/16159.</w:t>
            </w:r>
          </w:p>
        </w:tc>
        <w:tc>
          <w:tcPr>
            <w:tcW w:type="dxa" w:w="2324"/>
            <w:shd w:val="clear" w:color="auto" w:fill="DCE6F2"/>
          </w:tcPr>
          <w:p>
            <w:pPr>
              <w:jc w:val="left"/>
            </w:pPr>
            <w:r>
              <w:rPr>
                <w:b w:val="0"/>
                <w:sz w:val="24"/>
              </w:rPr>
              <w:t>Não verificado (TACHADO pendente). Nenhuma nota do NORMAL cita provimento posterior a 08/2025.</w:t>
            </w:r>
          </w:p>
        </w:tc>
      </w:tr>
      <w:tr>
        <w:tc>
          <w:tcPr>
            <w:tcW w:type="dxa" w:w="1417"/>
          </w:tcPr>
          <w:p>
            <w:pPr>
              <w:jc w:val="left"/>
            </w:pPr>
            <w:r>
              <w:rPr>
                <w:b w:val="0"/>
                <w:sz w:val="24"/>
              </w:rPr>
              <w:t>Cap. XVI</w:t>
            </w:r>
          </w:p>
        </w:tc>
        <w:tc>
          <w:tcPr>
            <w:tcW w:type="dxa" w:w="1587"/>
          </w:tcPr>
          <w:p>
            <w:pPr>
              <w:jc w:val="left"/>
            </w:pPr>
            <w:r>
              <w:rPr>
                <w:b w:val="0"/>
                <w:sz w:val="24"/>
              </w:rPr>
              <w:t>66, caput e a</w:t>
            </w:r>
          </w:p>
          <w:p>
            <w:pPr>
              <w:jc w:val="left"/>
            </w:pPr>
            <w:r>
              <w:rPr>
                <w:b w:val="0"/>
                <w:sz w:val="24"/>
              </w:rPr>
              <w:t>Página 199 (201)</w:t>
            </w:r>
          </w:p>
        </w:tc>
        <w:tc>
          <w:tcPr>
            <w:tcW w:type="dxa" w:w="6633"/>
          </w:tcPr>
          <w:p>
            <w:pPr>
              <w:jc w:val="both"/>
            </w:pPr>
            <w:r>
              <w:rPr>
                <w:b w:val="0"/>
                <w:sz w:val="24"/>
              </w:rPr>
              <w:t>66. As escrituras relativas a imóveis rurais devem conter, ainda: a) a apresentação e a menção aos dados do Certificado de Cadastro do Imóvel Rural – CCIR, emitido pelo Instituto Nacional de Colonização e Reforma Agrária – INCRA, e o número fornecido pela Receita Federal do Brasil – RFB, com a prova de quitação do Imposto sobre a Propriedade Territorial Rural – ITR correspondente aos últimos cinco anos;</w:t>
            </w:r>
            <w:r>
              <w:rPr>
                <w:b w:val="0"/>
                <w:sz w:val="24"/>
                <w:vertAlign w:val="superscript"/>
              </w:rPr>
              <w:t>581</w:t>
            </w:r>
          </w:p>
        </w:tc>
        <w:tc>
          <w:tcPr>
            <w:tcW w:type="dxa" w:w="2608"/>
          </w:tcPr>
          <w:p>
            <w:pPr>
              <w:jc w:val="left"/>
            </w:pPr>
            <w:r>
              <w:rPr>
                <w:b w:val="0"/>
                <w:sz w:val="24"/>
              </w:rPr>
              <w:t>581: Prov. CGJ 7/13.</w:t>
            </w:r>
          </w:p>
        </w:tc>
        <w:tc>
          <w:tcPr>
            <w:tcW w:type="dxa" w:w="2324"/>
          </w:tcPr>
          <w:p>
            <w:pPr>
              <w:jc w:val="left"/>
            </w:pPr>
            <w:r>
              <w:rPr>
                <w:b w:val="0"/>
                <w:sz w:val="24"/>
              </w:rPr>
              <w:t>Não verificado (TACHADO pendente). Nenhuma nota do NORMAL cita provimento posterior a 08/2025.</w:t>
            </w:r>
          </w:p>
        </w:tc>
      </w:tr>
      <w:tr>
        <w:tc>
          <w:tcPr>
            <w:tcW w:type="dxa" w:w="1417"/>
            <w:shd w:val="clear" w:color="auto" w:fill="DCE6F2"/>
          </w:tcPr>
          <w:p>
            <w:pPr>
              <w:jc w:val="left"/>
            </w:pPr>
            <w:r>
              <w:rPr>
                <w:b w:val="0"/>
                <w:sz w:val="24"/>
              </w:rPr>
              <w:t>Cap. XVI</w:t>
            </w:r>
          </w:p>
        </w:tc>
        <w:tc>
          <w:tcPr>
            <w:tcW w:type="dxa" w:w="1587"/>
            <w:shd w:val="clear" w:color="auto" w:fill="DCE6F2"/>
          </w:tcPr>
          <w:p>
            <w:pPr>
              <w:jc w:val="left"/>
            </w:pPr>
            <w:r>
              <w:rPr>
                <w:b w:val="0"/>
                <w:sz w:val="24"/>
              </w:rPr>
              <w:t>67</w:t>
            </w:r>
          </w:p>
          <w:p>
            <w:pPr>
              <w:jc w:val="left"/>
            </w:pPr>
            <w:r>
              <w:rPr>
                <w:b w:val="0"/>
                <w:sz w:val="24"/>
              </w:rPr>
              <w:t>Página 199 (201)</w:t>
            </w:r>
          </w:p>
        </w:tc>
        <w:tc>
          <w:tcPr>
            <w:tcW w:type="dxa" w:w="6633"/>
            <w:shd w:val="clear" w:color="auto" w:fill="DCE6F2"/>
          </w:tcPr>
          <w:p>
            <w:pPr>
              <w:jc w:val="both"/>
            </w:pPr>
            <w:r>
              <w:rPr>
                <w:b w:val="0"/>
                <w:sz w:val="24"/>
              </w:rPr>
              <w:t>67. O Tabelião de Notas não poderá, sob pena de responsabilidade, lavrar escrituras de desmembramento de bem imóvel rural, se a área a ser desmembrada e a remanescente não forem iguais ou superiores à fração mínima de parcelamento (fmp), impressa no CCIR correspondente.</w:t>
            </w:r>
          </w:p>
        </w:tc>
        <w:tc>
          <w:tcPr>
            <w:tcW w:type="dxa" w:w="2608"/>
            <w:shd w:val="clear" w:color="auto" w:fill="DCE6F2"/>
          </w:tcPr>
          <w:p>
            <w:pPr>
              <w:jc w:val="left"/>
            </w:pPr>
            <w:r>
              <w:rPr>
                <w:b w:val="0"/>
                <w:sz w:val="24"/>
              </w:rPr>
              <w:t>Sem chamada de nota de rodapé no trecho transcrito.</w:t>
            </w:r>
          </w:p>
        </w:tc>
        <w:tc>
          <w:tcPr>
            <w:tcW w:type="dxa" w:w="2324"/>
            <w:shd w:val="clear" w:color="auto" w:fill="DCE6F2"/>
          </w:tcPr>
          <w:p>
            <w:pPr>
              <w:jc w:val="left"/>
            </w:pPr>
            <w:r>
              <w:rPr>
                <w:b w:val="0"/>
                <w:sz w:val="24"/>
              </w:rPr>
              <w:t>Não verificado (TACHADO pendente). Nenhuma nota do NORMAL cita provimento posterior a 08/2025.</w:t>
            </w:r>
          </w:p>
        </w:tc>
      </w:tr>
      <w:tr>
        <w:tc>
          <w:tcPr>
            <w:tcW w:type="dxa" w:w="1417"/>
          </w:tcPr>
          <w:p>
            <w:pPr>
              <w:jc w:val="left"/>
            </w:pPr>
            <w:r>
              <w:rPr>
                <w:b w:val="0"/>
                <w:sz w:val="24"/>
              </w:rPr>
              <w:t>Cap. XVI</w:t>
            </w:r>
          </w:p>
        </w:tc>
        <w:tc>
          <w:tcPr>
            <w:tcW w:type="dxa" w:w="1587"/>
          </w:tcPr>
          <w:p>
            <w:pPr>
              <w:jc w:val="left"/>
            </w:pPr>
            <w:r>
              <w:rPr>
                <w:b w:val="0"/>
                <w:sz w:val="24"/>
              </w:rPr>
              <w:t>116, caput, c e e</w:t>
            </w:r>
          </w:p>
          <w:p>
            <w:pPr>
              <w:jc w:val="left"/>
            </w:pPr>
            <w:r>
              <w:rPr>
                <w:b w:val="0"/>
                <w:sz w:val="24"/>
              </w:rPr>
              <w:t>Página 214, 215 (216, 217)</w:t>
            </w:r>
          </w:p>
        </w:tc>
        <w:tc>
          <w:tcPr>
            <w:tcW w:type="dxa" w:w="6633"/>
          </w:tcPr>
          <w:p>
            <w:pPr>
              <w:jc w:val="both"/>
            </w:pPr>
            <w:r>
              <w:rPr>
                <w:b w:val="0"/>
                <w:sz w:val="24"/>
              </w:rPr>
              <w:t>116. Quanto aos bens, recomenda-se:</w:t>
            </w:r>
            <w:r>
              <w:rPr>
                <w:b w:val="0"/>
                <w:sz w:val="24"/>
                <w:vertAlign w:val="superscript"/>
              </w:rPr>
              <w:t>650</w:t>
            </w:r>
            <w:r>
              <w:rPr>
                <w:b w:val="0"/>
                <w:sz w:val="24"/>
              </w:rPr>
              <w:t xml:space="preserve"> […] c) se imóvel rural, observar a alínea a.1. do item 60 deste Capítulo, havendo, ainda, necessidade de apresentação, com menção na escritura, do CCIR emitido pelo INCRA e da prova de quitação do ITR correspondente aos últimos cinco anos;</w:t>
            </w:r>
            <w:r>
              <w:rPr>
                <w:b w:val="0"/>
                <w:sz w:val="24"/>
                <w:vertAlign w:val="superscript"/>
              </w:rPr>
              <w:t>652</w:t>
            </w:r>
            <w:r>
              <w:rPr>
                <w:b w:val="0"/>
                <w:sz w:val="24"/>
              </w:rPr>
              <w:t xml:space="preserve"> […] e) na hipótese de bem imóvel com construção ou com aumento de área construída, sem prévia averbação no registro imobiliário, o Tabelião de Notas deve aconselhar a apresentação de documento comprobatório expedido pela Prefeitura e, se o caso, CND-INSS, para inventário e partilha;</w:t>
            </w:r>
          </w:p>
        </w:tc>
        <w:tc>
          <w:tcPr>
            <w:tcW w:type="dxa" w:w="2608"/>
          </w:tcPr>
          <w:p>
            <w:pPr>
              <w:jc w:val="left"/>
            </w:pPr>
            <w:r>
              <w:rPr>
                <w:b w:val="0"/>
                <w:sz w:val="24"/>
              </w:rPr>
              <w:t>650: Provs. CGJ 33/07 e 40/12.</w:t>
            </w:r>
          </w:p>
          <w:p>
            <w:pPr>
              <w:jc w:val="left"/>
            </w:pPr>
            <w:r>
              <w:rPr>
                <w:b w:val="0"/>
                <w:sz w:val="24"/>
              </w:rPr>
              <w:t>652: Prov. CG nº 24/13.</w:t>
            </w:r>
          </w:p>
        </w:tc>
        <w:tc>
          <w:tcPr>
            <w:tcW w:type="dxa" w:w="2324"/>
          </w:tcPr>
          <w:p>
            <w:pPr>
              <w:jc w:val="left"/>
            </w:pPr>
            <w:r>
              <w:rPr>
                <w:b w:val="0"/>
                <w:sz w:val="24"/>
              </w:rPr>
              <w:t>Não verificado (TACHADO pendente). Nenhuma nota do NORMAL cita provimento posterior a 08/2025.</w:t>
            </w:r>
          </w:p>
        </w:tc>
      </w:tr>
      <w:tr>
        <w:tc>
          <w:tcPr>
            <w:tcW w:type="dxa" w:w="1417"/>
            <w:shd w:val="clear" w:color="auto" w:fill="DCE6F2"/>
          </w:tcPr>
          <w:p>
            <w:pPr>
              <w:jc w:val="left"/>
            </w:pPr>
            <w:r>
              <w:rPr>
                <w:b w:val="0"/>
                <w:sz w:val="24"/>
              </w:rPr>
              <w:t>Cap. XVI</w:t>
            </w:r>
          </w:p>
        </w:tc>
        <w:tc>
          <w:tcPr>
            <w:tcW w:type="dxa" w:w="1587"/>
            <w:shd w:val="clear" w:color="auto" w:fill="DCE6F2"/>
          </w:tcPr>
          <w:p>
            <w:pPr>
              <w:jc w:val="left"/>
            </w:pPr>
            <w:r>
              <w:rPr>
                <w:b w:val="0"/>
                <w:sz w:val="24"/>
              </w:rPr>
              <w:t>118, caput, g e h</w:t>
            </w:r>
          </w:p>
          <w:p>
            <w:pPr>
              <w:jc w:val="left"/>
            </w:pPr>
            <w:r>
              <w:rPr>
                <w:b w:val="0"/>
                <w:sz w:val="24"/>
              </w:rPr>
              <w:t>Página 216 (218)</w:t>
            </w:r>
          </w:p>
        </w:tc>
        <w:tc>
          <w:tcPr>
            <w:tcW w:type="dxa" w:w="6633"/>
            <w:shd w:val="clear" w:color="auto" w:fill="DCE6F2"/>
          </w:tcPr>
          <w:p>
            <w:pPr>
              <w:jc w:val="both"/>
            </w:pPr>
            <w:r>
              <w:rPr>
                <w:b w:val="0"/>
                <w:sz w:val="24"/>
              </w:rPr>
              <w:t>118. Na lavratura da escritura deverão ser apresentados os seguintes documentos: […] g) certidão negativa ou certidão positiva com efeitos de negativa de tributos;</w:t>
            </w:r>
            <w:r>
              <w:rPr>
                <w:b w:val="0"/>
                <w:sz w:val="24"/>
                <w:vertAlign w:val="superscript"/>
              </w:rPr>
              <w:t>656</w:t>
            </w:r>
            <w:r>
              <w:rPr>
                <w:b w:val="0"/>
                <w:sz w:val="24"/>
              </w:rPr>
              <w:t xml:space="preserve"> h) CCIR emitido pelo INCRA, se houver imóvel rural a ser partilhado;</w:t>
            </w:r>
          </w:p>
        </w:tc>
        <w:tc>
          <w:tcPr>
            <w:tcW w:type="dxa" w:w="2608"/>
            <w:shd w:val="clear" w:color="auto" w:fill="DCE6F2"/>
          </w:tcPr>
          <w:p>
            <w:pPr>
              <w:jc w:val="left"/>
            </w:pPr>
            <w:r>
              <w:rPr>
                <w:b w:val="0"/>
                <w:sz w:val="24"/>
              </w:rPr>
              <w:t>656: Prov. CG nº 02/2014</w:t>
            </w:r>
          </w:p>
        </w:tc>
        <w:tc>
          <w:tcPr>
            <w:tcW w:type="dxa" w:w="2324"/>
            <w:shd w:val="clear" w:color="auto" w:fill="DCE6F2"/>
          </w:tcPr>
          <w:p>
            <w:pPr>
              <w:jc w:val="left"/>
            </w:pPr>
            <w:r>
              <w:rPr>
                <w:b w:val="0"/>
                <w:sz w:val="24"/>
              </w:rPr>
              <w:t>Não verificado (TACHADO pendente). Nenhuma nota do NORMAL cita provimento posterior a 08/2025.</w:t>
            </w:r>
          </w:p>
        </w:tc>
      </w:tr>
    </w:tbl>
    <w:p/>
    <w:p>
      <w:pPr>
        <w:pStyle w:val="Heading2"/>
      </w:pPr>
      <w:r>
        <w:t>3.2. Capítulo XX – Do Registro de Imóveis</w:t>
      </w:r>
    </w:p>
    <w:p>
      <w:pPr>
        <w:pStyle w:val="Heading3"/>
      </w:pPr>
      <w:r>
        <w:t>Matrícula, Indicador Real, Registro, Loteamento, Incorporação e Usucapião Extrajudicial</w:t>
      </w:r>
    </w:p>
    <w:tbl>
      <w:tblPr>
        <w:tblStyle w:val="TableGrid"/>
        <w:tblW w:type="auto" w:w="0"/>
        <w:tblLayout w:type="fixed"/>
        <w:tblLook w:firstColumn="1" w:firstRow="1" w:lastColumn="0" w:lastRow="0" w:noHBand="0" w:noVBand="1" w:val="04A0"/>
        <w:tblLayout w:type="fixed"/>
      </w:tblPr>
      <w:tblGrid>
        <w:gridCol w:w="1417"/>
        <w:gridCol w:w="1587"/>
        <w:gridCol w:w="6633"/>
        <w:gridCol w:w="2608"/>
        <w:gridCol w:w="2324"/>
      </w:tblGrid>
      <w:tr>
        <w:trPr>
          <w:tblHeader w:val="true"/>
        </w:trPr>
        <w:tc>
          <w:tcPr>
            <w:tcW w:type="dxa" w:w="1417"/>
            <w:shd w:val="clear" w:color="auto" w:fill="1F4E9A"/>
          </w:tcPr>
          <w:p>
            <w:pPr>
              <w:jc w:val="center"/>
            </w:pPr>
            <w:r>
              <w:rPr>
                <w:b/>
                <w:color w:val="FFFFFF"/>
                <w:sz w:val="24"/>
              </w:rPr>
              <w:t>Capítulo</w:t>
            </w:r>
          </w:p>
        </w:tc>
        <w:tc>
          <w:tcPr>
            <w:tcW w:type="dxa" w:w="1587"/>
            <w:shd w:val="clear" w:color="auto" w:fill="1F4E9A"/>
          </w:tcPr>
          <w:p>
            <w:pPr>
              <w:jc w:val="center"/>
            </w:pPr>
            <w:r>
              <w:rPr>
                <w:b/>
                <w:color w:val="FFFFFF"/>
                <w:sz w:val="24"/>
              </w:rPr>
              <w:t>Item</w:t>
            </w:r>
          </w:p>
        </w:tc>
        <w:tc>
          <w:tcPr>
            <w:tcW w:type="dxa" w:w="6633"/>
            <w:shd w:val="clear" w:color="auto" w:fill="1F4E9A"/>
          </w:tcPr>
          <w:p>
            <w:pPr>
              <w:jc w:val="center"/>
            </w:pPr>
            <w:r>
              <w:rPr>
                <w:b/>
                <w:color w:val="FFFFFF"/>
                <w:sz w:val="24"/>
              </w:rPr>
              <w:t>Transcrição literal</w:t>
            </w:r>
          </w:p>
        </w:tc>
        <w:tc>
          <w:tcPr>
            <w:tcW w:type="dxa" w:w="2608"/>
            <w:shd w:val="clear" w:color="auto" w:fill="1F4E9A"/>
          </w:tcPr>
          <w:p>
            <w:pPr>
              <w:jc w:val="center"/>
            </w:pPr>
            <w:r>
              <w:rPr>
                <w:b/>
                <w:color w:val="FFFFFF"/>
                <w:sz w:val="24"/>
              </w:rPr>
              <w:t>Nota de rodapé/provimento</w:t>
            </w:r>
          </w:p>
        </w:tc>
        <w:tc>
          <w:tcPr>
            <w:tcW w:type="dxa" w:w="2324"/>
            <w:shd w:val="clear" w:color="auto" w:fill="1F4E9A"/>
          </w:tcPr>
          <w:p>
            <w:pPr>
              <w:jc w:val="center"/>
            </w:pPr>
            <w:r>
              <w:rPr>
                <w:b/>
                <w:color w:val="FFFFFF"/>
                <w:sz w:val="24"/>
              </w:rPr>
              <w:t>Alterado recentemente?</w:t>
            </w:r>
          </w:p>
        </w:tc>
      </w:tr>
      <w:tr>
        <w:tc>
          <w:tcPr>
            <w:tcW w:type="dxa" w:w="1417"/>
          </w:tcPr>
          <w:p>
            <w:pPr>
              <w:jc w:val="left"/>
            </w:pPr>
            <w:r>
              <w:rPr>
                <w:b w:val="0"/>
                <w:sz w:val="24"/>
              </w:rPr>
              <w:t>Cap. XX</w:t>
            </w:r>
          </w:p>
        </w:tc>
        <w:tc>
          <w:tcPr>
            <w:tcW w:type="dxa" w:w="1587"/>
          </w:tcPr>
          <w:p>
            <w:pPr>
              <w:jc w:val="left"/>
            </w:pPr>
            <w:r>
              <w:rPr>
                <w:b w:val="0"/>
                <w:sz w:val="24"/>
              </w:rPr>
              <w:t>57, caput e II</w:t>
            </w:r>
          </w:p>
          <w:p>
            <w:pPr>
              <w:jc w:val="left"/>
            </w:pPr>
            <w:r>
              <w:rPr>
                <w:b w:val="0"/>
                <w:sz w:val="24"/>
              </w:rPr>
              <w:t>Página 464 (466)</w:t>
            </w:r>
          </w:p>
        </w:tc>
        <w:tc>
          <w:tcPr>
            <w:tcW w:type="dxa" w:w="6633"/>
          </w:tcPr>
          <w:p>
            <w:pPr>
              <w:jc w:val="both"/>
            </w:pPr>
            <w:r>
              <w:rPr>
                <w:b w:val="0"/>
                <w:sz w:val="24"/>
              </w:rPr>
              <w:t>57. A identificação e caracterização do imóvel compreendem:</w:t>
            </w:r>
            <w:r>
              <w:rPr>
                <w:b w:val="0"/>
                <w:sz w:val="24"/>
                <w:vertAlign w:val="superscript"/>
              </w:rPr>
              <w:t>1446</w:t>
            </w:r>
            <w:r>
              <w:rPr>
                <w:b w:val="0"/>
                <w:sz w:val="24"/>
              </w:rPr>
              <w:t xml:space="preserve"> […] II – se rural, o código do imóvel e os dados constantes do CCIR, a localização e denominação;</w:t>
            </w:r>
          </w:p>
        </w:tc>
        <w:tc>
          <w:tcPr>
            <w:tcW w:type="dxa" w:w="2608"/>
          </w:tcPr>
          <w:p>
            <w:pPr>
              <w:jc w:val="left"/>
            </w:pPr>
            <w:r>
              <w:rPr>
                <w:b w:val="0"/>
                <w:sz w:val="24"/>
              </w:rPr>
              <w:t>1446: Prov. CGJ 39/2001.</w:t>
            </w:r>
          </w:p>
        </w:tc>
        <w:tc>
          <w:tcPr>
            <w:tcW w:type="dxa" w:w="2324"/>
          </w:tcPr>
          <w:p>
            <w:pPr>
              <w:jc w:val="left"/>
            </w:pPr>
            <w:r>
              <w:rPr>
                <w:b w:val="0"/>
                <w:sz w:val="24"/>
              </w:rPr>
              <w:t>Não verificado (TACHADO pendente). Nenhuma nota do NORMAL cita provimento posterior a 08/2025.</w:t>
            </w:r>
          </w:p>
        </w:tc>
      </w:tr>
      <w:tr>
        <w:tc>
          <w:tcPr>
            <w:tcW w:type="dxa" w:w="1417"/>
            <w:shd w:val="clear" w:color="auto" w:fill="DCE6F2"/>
          </w:tcPr>
          <w:p>
            <w:pPr>
              <w:jc w:val="left"/>
            </w:pPr>
            <w:r>
              <w:rPr>
                <w:b w:val="0"/>
                <w:sz w:val="24"/>
              </w:rPr>
              <w:t>Cap. XX</w:t>
            </w:r>
          </w:p>
        </w:tc>
        <w:tc>
          <w:tcPr>
            <w:tcW w:type="dxa" w:w="1587"/>
            <w:shd w:val="clear" w:color="auto" w:fill="DCE6F2"/>
          </w:tcPr>
          <w:p>
            <w:pPr>
              <w:jc w:val="left"/>
            </w:pPr>
            <w:r>
              <w:rPr>
                <w:b w:val="0"/>
                <w:sz w:val="24"/>
              </w:rPr>
              <w:t>57.2 e 57.3</w:t>
            </w:r>
          </w:p>
          <w:p>
            <w:pPr>
              <w:jc w:val="left"/>
            </w:pPr>
            <w:r>
              <w:rPr>
                <w:b w:val="0"/>
                <w:sz w:val="24"/>
              </w:rPr>
              <w:t>Página 465 (467)</w:t>
            </w:r>
          </w:p>
        </w:tc>
        <w:tc>
          <w:tcPr>
            <w:tcW w:type="dxa" w:w="6633"/>
            <w:shd w:val="clear" w:color="auto" w:fill="DCE6F2"/>
          </w:tcPr>
          <w:p>
            <w:pPr>
              <w:jc w:val="both"/>
            </w:pPr>
            <w:r>
              <w:rPr>
                <w:b w:val="0"/>
                <w:sz w:val="24"/>
              </w:rPr>
              <w:t>57.2. A descrição georreferenciada constante do memorial descritivo certificado pelo INCRA será averbada para o fim da alínea “a” do item 3 do inciso II do parágrafo 1º do art. 176 da Lei nº 6.015, de 31 de dezembro de 1973, mediante requerimento do titular do domínio nos termos do parágrafo 5º do art. 9º do Decreto nº 4.449, de 30 de outubro de 2002, ficando dispensada a anuência dos confrontantes nas hipóteses em que observado o § 13 do art. 176 da referida Lei. 57.3. Não sendo apresentadas as declarações constantes do parágrafo 6º e a certidão prevista no parágrafo 1º, ambos do art. 9º do Decreto nº 4.449, de 30 de outubro de 2002, o Oficial, caso haja requerimento do interessado nos termos do inciso II art. 213 da Lei nº 6.015, de 31 de dezembro de 1973, providenciará o necessário para que a retificação seja processada na forma deste último dispositivo.</w:t>
            </w:r>
            <w:r>
              <w:rPr>
                <w:b w:val="0"/>
                <w:sz w:val="24"/>
                <w:vertAlign w:val="superscript"/>
              </w:rPr>
              <w:t>1448</w:t>
            </w:r>
          </w:p>
        </w:tc>
        <w:tc>
          <w:tcPr>
            <w:tcW w:type="dxa" w:w="2608"/>
            <w:shd w:val="clear" w:color="auto" w:fill="DCE6F2"/>
          </w:tcPr>
          <w:p>
            <w:pPr>
              <w:jc w:val="left"/>
            </w:pPr>
            <w:r>
              <w:rPr>
                <w:b w:val="0"/>
                <w:sz w:val="24"/>
              </w:rPr>
              <w:t>1448: Provs. CGJ 9/2004 e 2/2005.</w:t>
            </w:r>
          </w:p>
          <w:p>
            <w:pPr>
              <w:jc w:val="left"/>
            </w:pPr>
            <w:r>
              <w:rPr>
                <w:b w:val="0"/>
                <w:sz w:val="24"/>
              </w:rPr>
              <w:t>Obs.: Averbação de georreferenciamento: o texto NÃO menciona CCIR nem ITR.</w:t>
            </w:r>
          </w:p>
        </w:tc>
        <w:tc>
          <w:tcPr>
            <w:tcW w:type="dxa" w:w="2324"/>
            <w:shd w:val="clear" w:color="auto" w:fill="DCE6F2"/>
          </w:tcPr>
          <w:p>
            <w:pPr>
              <w:jc w:val="left"/>
            </w:pPr>
            <w:r>
              <w:rPr>
                <w:b w:val="0"/>
                <w:sz w:val="24"/>
              </w:rPr>
              <w:t>Não verificado (TACHADO pendente). Nenhuma nota do NORMAL cita provimento posterior a 08/2025.</w:t>
            </w:r>
          </w:p>
        </w:tc>
      </w:tr>
      <w:tr>
        <w:tc>
          <w:tcPr>
            <w:tcW w:type="dxa" w:w="1417"/>
          </w:tcPr>
          <w:p>
            <w:pPr>
              <w:jc w:val="left"/>
            </w:pPr>
            <w:r>
              <w:rPr>
                <w:b w:val="0"/>
                <w:sz w:val="24"/>
              </w:rPr>
              <w:t>Cap. XX</w:t>
            </w:r>
          </w:p>
        </w:tc>
        <w:tc>
          <w:tcPr>
            <w:tcW w:type="dxa" w:w="1587"/>
          </w:tcPr>
          <w:p>
            <w:pPr>
              <w:jc w:val="left"/>
            </w:pPr>
            <w:r>
              <w:rPr>
                <w:b w:val="0"/>
                <w:sz w:val="24"/>
              </w:rPr>
              <w:t>93.3</w:t>
            </w:r>
          </w:p>
          <w:p>
            <w:pPr>
              <w:jc w:val="left"/>
            </w:pPr>
            <w:r>
              <w:rPr>
                <w:b w:val="0"/>
                <w:sz w:val="24"/>
              </w:rPr>
              <w:t>Página 480 (482)</w:t>
            </w:r>
          </w:p>
        </w:tc>
        <w:tc>
          <w:tcPr>
            <w:tcW w:type="dxa" w:w="6633"/>
          </w:tcPr>
          <w:p>
            <w:pPr>
              <w:jc w:val="both"/>
            </w:pPr>
            <w:r>
              <w:rPr>
                <w:b w:val="0"/>
                <w:sz w:val="24"/>
              </w:rPr>
              <w:t>93.3. Deverão ser mencionados os números de inscrição no cadastro do INCRA (CCIR) e no da Receita Federal do Brasil (NIRF).</w:t>
            </w:r>
          </w:p>
        </w:tc>
        <w:tc>
          <w:tcPr>
            <w:tcW w:type="dxa" w:w="2608"/>
          </w:tcPr>
          <w:p>
            <w:pPr>
              <w:jc w:val="left"/>
            </w:pPr>
            <w:r>
              <w:rPr>
                <w:b w:val="0"/>
                <w:sz w:val="24"/>
              </w:rPr>
              <w:t>Sem chamada de nota de rodapé no trecho transcrito.</w:t>
            </w:r>
          </w:p>
        </w:tc>
        <w:tc>
          <w:tcPr>
            <w:tcW w:type="dxa" w:w="2324"/>
          </w:tcPr>
          <w:p>
            <w:pPr>
              <w:jc w:val="left"/>
            </w:pPr>
            <w:r>
              <w:rPr>
                <w:b w:val="0"/>
                <w:sz w:val="24"/>
              </w:rPr>
              <w:t>Não verificado (TACHADO pendente). Nenhuma nota do NORMAL cita provimento posterior a 08/2025.</w:t>
            </w:r>
          </w:p>
        </w:tc>
      </w:tr>
      <w:tr>
        <w:tc>
          <w:tcPr>
            <w:tcW w:type="dxa" w:w="1417"/>
            <w:shd w:val="clear" w:color="auto" w:fill="DCE6F2"/>
          </w:tcPr>
          <w:p>
            <w:pPr>
              <w:jc w:val="left"/>
            </w:pPr>
            <w:r>
              <w:rPr>
                <w:b w:val="0"/>
                <w:sz w:val="24"/>
              </w:rPr>
              <w:t>Cap. XX</w:t>
            </w:r>
          </w:p>
        </w:tc>
        <w:tc>
          <w:tcPr>
            <w:tcW w:type="dxa" w:w="1587"/>
            <w:shd w:val="clear" w:color="auto" w:fill="DCE6F2"/>
          </w:tcPr>
          <w:p>
            <w:pPr>
              <w:jc w:val="left"/>
            </w:pPr>
            <w:r>
              <w:rPr>
                <w:b w:val="0"/>
                <w:sz w:val="24"/>
              </w:rPr>
              <w:t>117 e 117.1</w:t>
            </w:r>
          </w:p>
          <w:p>
            <w:pPr>
              <w:jc w:val="left"/>
            </w:pPr>
            <w:r>
              <w:rPr>
                <w:b w:val="0"/>
                <w:sz w:val="24"/>
              </w:rPr>
              <w:t>Página 488, 489 (490, 491)</w:t>
            </w:r>
          </w:p>
        </w:tc>
        <w:tc>
          <w:tcPr>
            <w:tcW w:type="dxa" w:w="6633"/>
            <w:shd w:val="clear" w:color="auto" w:fill="DCE6F2"/>
          </w:tcPr>
          <w:p>
            <w:pPr>
              <w:jc w:val="both"/>
            </w:pPr>
            <w:r>
              <w:rPr>
                <w:b w:val="0"/>
                <w:sz w:val="24"/>
              </w:rPr>
              <w:t>117. Incumbe ao oficial impedir o registro de título que não satisfaça os requisitos exigidos pela lei, quer sejam consubstanciados em instrumento público ou particular, quer em atos judiciais.</w:t>
            </w:r>
            <w:r>
              <w:rPr>
                <w:b w:val="0"/>
                <w:sz w:val="24"/>
                <w:vertAlign w:val="superscript"/>
              </w:rPr>
              <w:t>1529</w:t>
            </w:r>
            <w:r>
              <w:rPr>
                <w:b w:val="0"/>
                <w:sz w:val="24"/>
              </w:rPr>
              <w:t xml:space="preserve"> 117.1. Com exceção do recolhimento do imposto de transmissão e prova de recolhimento do laudêmio, quando devidos, nenhuma exigência relativa à quitação de débitos para com a Fazenda Pública, inclusive quitação de débitos previdenciários, fará o oficial, para o registro de títulos particulares, notariais ou judiciais.</w:t>
            </w:r>
            <w:r>
              <w:rPr>
                <w:b w:val="0"/>
                <w:sz w:val="24"/>
                <w:vertAlign w:val="superscript"/>
              </w:rPr>
              <w:t>1530</w:t>
            </w:r>
          </w:p>
        </w:tc>
        <w:tc>
          <w:tcPr>
            <w:tcW w:type="dxa" w:w="2608"/>
            <w:shd w:val="clear" w:color="auto" w:fill="DCE6F2"/>
          </w:tcPr>
          <w:p>
            <w:pPr>
              <w:jc w:val="left"/>
            </w:pPr>
            <w:r>
              <w:rPr>
                <w:b w:val="0"/>
                <w:sz w:val="24"/>
              </w:rPr>
              <w:t>1529: L. 6.015/73, arts. 222/224, 225, §§ 1º e 2º e 239.</w:t>
            </w:r>
          </w:p>
          <w:p>
            <w:pPr>
              <w:jc w:val="left"/>
            </w:pPr>
            <w:r>
              <w:rPr>
                <w:b w:val="0"/>
                <w:sz w:val="24"/>
              </w:rPr>
              <w:t>1530: CTN, art. 192; CPC, arts. 1.026 e 1.031 e Proc. CG 61.983/82; Apelação nº 0006907-12.2012.8.26.0344, Marília (SP); NSCGJSP, XVI, 59.2.</w:t>
            </w:r>
          </w:p>
        </w:tc>
        <w:tc>
          <w:tcPr>
            <w:tcW w:type="dxa" w:w="2324"/>
            <w:shd w:val="clear" w:color="auto" w:fill="DCE6F2"/>
          </w:tcPr>
          <w:p>
            <w:pPr>
              <w:jc w:val="left"/>
            </w:pPr>
            <w:r>
              <w:rPr>
                <w:b w:val="0"/>
                <w:sz w:val="24"/>
              </w:rPr>
              <w:t>Não verificado (TACHADO pendente). Nenhuma nota do NORMAL cita provimento posterior a 08/2025. A renumeração do antigo 119.1 para 117.1 não é indicada em nota; o provimento responsável depende do TACHADO.</w:t>
            </w:r>
          </w:p>
        </w:tc>
      </w:tr>
      <w:tr>
        <w:tc>
          <w:tcPr>
            <w:tcW w:type="dxa" w:w="1417"/>
          </w:tcPr>
          <w:p>
            <w:pPr>
              <w:jc w:val="left"/>
            </w:pPr>
            <w:r>
              <w:rPr>
                <w:b w:val="0"/>
                <w:sz w:val="24"/>
              </w:rPr>
              <w:t>Cap. XX</w:t>
            </w:r>
          </w:p>
        </w:tc>
        <w:tc>
          <w:tcPr>
            <w:tcW w:type="dxa" w:w="1587"/>
          </w:tcPr>
          <w:p>
            <w:pPr>
              <w:jc w:val="left"/>
            </w:pPr>
            <w:r>
              <w:rPr>
                <w:b w:val="0"/>
                <w:sz w:val="24"/>
              </w:rPr>
              <w:t>179 e 179.1</w:t>
            </w:r>
          </w:p>
          <w:p>
            <w:pPr>
              <w:jc w:val="left"/>
            </w:pPr>
            <w:r>
              <w:rPr>
                <w:b w:val="0"/>
                <w:sz w:val="24"/>
              </w:rPr>
              <w:t>Página 528 (530)</w:t>
            </w:r>
          </w:p>
        </w:tc>
        <w:tc>
          <w:tcPr>
            <w:tcW w:type="dxa" w:w="6633"/>
          </w:tcPr>
          <w:p>
            <w:pPr>
              <w:jc w:val="both"/>
            </w:pPr>
            <w:r>
              <w:rPr>
                <w:b w:val="0"/>
                <w:sz w:val="24"/>
              </w:rPr>
              <w:t>179. Cuidando-se de imóvel urbano que, há menos de 5 (cinco) anos, era considerado rural, deve ser exigida Certidão Negativa de Débito de Imóvel Rural, expedida pela Receita Federal do Brasil (RFB). 179.1. Havendo incidência de débitos fiscais municipais sobre o imóvel objeto do parcelamento, admitir-se-á a certidão positiva com efeitos de negativa expedida pela municipalidade.</w:t>
            </w:r>
            <w:r>
              <w:rPr>
                <w:b w:val="0"/>
                <w:sz w:val="24"/>
                <w:vertAlign w:val="superscript"/>
              </w:rPr>
              <w:t>1715</w:t>
            </w:r>
          </w:p>
        </w:tc>
        <w:tc>
          <w:tcPr>
            <w:tcW w:type="dxa" w:w="2608"/>
          </w:tcPr>
          <w:p>
            <w:pPr>
              <w:jc w:val="left"/>
            </w:pPr>
            <w:r>
              <w:rPr>
                <w:b w:val="0"/>
                <w:sz w:val="24"/>
              </w:rPr>
              <w:t>1715: Prov. CG 10/2015.</w:t>
            </w:r>
          </w:p>
        </w:tc>
        <w:tc>
          <w:tcPr>
            <w:tcW w:type="dxa" w:w="2324"/>
          </w:tcPr>
          <w:p>
            <w:pPr>
              <w:jc w:val="left"/>
            </w:pPr>
            <w:r>
              <w:rPr>
                <w:b w:val="0"/>
                <w:sz w:val="24"/>
              </w:rPr>
              <w:t>Não verificado (TACHADO pendente). Nenhuma nota do NORMAL cita provimento posterior a 08/2025.</w:t>
            </w:r>
          </w:p>
        </w:tc>
      </w:tr>
      <w:tr>
        <w:tc>
          <w:tcPr>
            <w:tcW w:type="dxa" w:w="1417"/>
            <w:shd w:val="clear" w:color="auto" w:fill="DCE6F2"/>
          </w:tcPr>
          <w:p>
            <w:pPr>
              <w:jc w:val="left"/>
            </w:pPr>
            <w:r>
              <w:rPr>
                <w:b w:val="0"/>
                <w:sz w:val="24"/>
              </w:rPr>
              <w:t>Cap. XX</w:t>
            </w:r>
          </w:p>
        </w:tc>
        <w:tc>
          <w:tcPr>
            <w:tcW w:type="dxa" w:w="1587"/>
            <w:shd w:val="clear" w:color="auto" w:fill="DCE6F2"/>
          </w:tcPr>
          <w:p>
            <w:pPr>
              <w:jc w:val="left"/>
            </w:pPr>
            <w:r>
              <w:rPr>
                <w:b w:val="0"/>
                <w:sz w:val="24"/>
              </w:rPr>
              <w:t>212 e 212.1</w:t>
            </w:r>
          </w:p>
          <w:p>
            <w:pPr>
              <w:jc w:val="left"/>
            </w:pPr>
            <w:r>
              <w:rPr>
                <w:b w:val="0"/>
                <w:sz w:val="24"/>
              </w:rPr>
              <w:t>Página 540 (542)</w:t>
            </w:r>
          </w:p>
        </w:tc>
        <w:tc>
          <w:tcPr>
            <w:tcW w:type="dxa" w:w="6633"/>
            <w:shd w:val="clear" w:color="auto" w:fill="DCE6F2"/>
          </w:tcPr>
          <w:p>
            <w:pPr>
              <w:jc w:val="both"/>
            </w:pPr>
            <w:r>
              <w:rPr>
                <w:b w:val="0"/>
                <w:sz w:val="24"/>
              </w:rPr>
              <w:t>212. Será exigida, das empresas em geral, certidão negativa de débito, ou equivalente, para com a Previdência Social, por ocasião do requerimento de registro de incorporações.</w:t>
            </w:r>
            <w:r>
              <w:rPr>
                <w:b w:val="0"/>
                <w:sz w:val="24"/>
                <w:vertAlign w:val="superscript"/>
              </w:rPr>
              <w:t>1763</w:t>
            </w:r>
            <w:r>
              <w:rPr>
                <w:b w:val="0"/>
                <w:sz w:val="24"/>
              </w:rPr>
              <w:t xml:space="preserve"> 212.1. O incorporador, particular, construtor ou empresa de comercialização de imóveis, não vinculados à Previdência Social, apresentarão, apenas em relação ao imóvel, a certidão negativa de débito, ou equivalente, relativa aos responsáveis pela execução das obras, por ocasião da averbação da construção do edifício ou unidade imobiliária; essa certidão, ou equivalente, servirá para os posteriores registros das primeiras alienações das demais unidades autônomas.</w:t>
            </w:r>
            <w:r>
              <w:rPr>
                <w:b w:val="0"/>
                <w:sz w:val="24"/>
                <w:vertAlign w:val="superscript"/>
              </w:rPr>
              <w:t>1764</w:t>
            </w:r>
          </w:p>
        </w:tc>
        <w:tc>
          <w:tcPr>
            <w:tcW w:type="dxa" w:w="2608"/>
            <w:shd w:val="clear" w:color="auto" w:fill="DCE6F2"/>
          </w:tcPr>
          <w:p>
            <w:pPr>
              <w:jc w:val="left"/>
            </w:pPr>
            <w:r>
              <w:rPr>
                <w:b w:val="0"/>
                <w:sz w:val="24"/>
              </w:rPr>
              <w:t>1763: Prov. 07/2023 - Lei 4.591/1964, art. 32, f, e Dec.-lei 1.958/1982, art. 2º, § 3º.</w:t>
            </w:r>
          </w:p>
          <w:p>
            <w:pPr>
              <w:jc w:val="left"/>
            </w:pPr>
            <w:r>
              <w:rPr>
                <w:b w:val="0"/>
                <w:sz w:val="24"/>
              </w:rPr>
              <w:t>1764: Prov. 07/2023 - Dec.-lei 1.958/1982, art. 2º, II, e § 2º; Dec.-lei 2.038/1983, art. 1º; Prov. CG 18/1983.</w:t>
            </w:r>
          </w:p>
        </w:tc>
        <w:tc>
          <w:tcPr>
            <w:tcW w:type="dxa" w:w="2324"/>
            <w:shd w:val="clear" w:color="auto" w:fill="DCE6F2"/>
          </w:tcPr>
          <w:p>
            <w:pPr>
              <w:jc w:val="left"/>
            </w:pPr>
            <w:r>
              <w:rPr>
                <w:b w:val="0"/>
                <w:sz w:val="24"/>
              </w:rPr>
              <w:t>Não verificado (TACHADO pendente). Nenhuma nota do NORMAL cita provimento posterior a 08/2025.</w:t>
            </w:r>
          </w:p>
        </w:tc>
      </w:tr>
      <w:tr>
        <w:tc>
          <w:tcPr>
            <w:tcW w:type="dxa" w:w="1417"/>
          </w:tcPr>
          <w:p>
            <w:pPr>
              <w:jc w:val="left"/>
            </w:pPr>
            <w:r>
              <w:rPr>
                <w:b w:val="0"/>
                <w:sz w:val="24"/>
              </w:rPr>
              <w:t>Cap. XX</w:t>
            </w:r>
          </w:p>
        </w:tc>
        <w:tc>
          <w:tcPr>
            <w:tcW w:type="dxa" w:w="1587"/>
          </w:tcPr>
          <w:p>
            <w:pPr>
              <w:jc w:val="left"/>
            </w:pPr>
            <w:r>
              <w:rPr>
                <w:b w:val="0"/>
                <w:sz w:val="24"/>
              </w:rPr>
              <w:t>416.16</w:t>
            </w:r>
          </w:p>
          <w:p>
            <w:pPr>
              <w:jc w:val="left"/>
            </w:pPr>
            <w:r>
              <w:rPr>
                <w:b w:val="0"/>
                <w:sz w:val="24"/>
              </w:rPr>
              <w:t>Página 622 (624)</w:t>
            </w:r>
          </w:p>
        </w:tc>
        <w:tc>
          <w:tcPr>
            <w:tcW w:type="dxa" w:w="6633"/>
          </w:tcPr>
          <w:p>
            <w:pPr>
              <w:jc w:val="both"/>
            </w:pPr>
            <w:r>
              <w:rPr>
                <w:b w:val="0"/>
                <w:sz w:val="24"/>
              </w:rPr>
              <w:t>416.16. O valor do imóvel declarado pelo requerente será seu valor venal relativo ao último lançamento do imposto predial e territorial urbano ou do imposto territorial rural incidente ou, quando não estipulado, o valor de mercado aproximado. (Conforme Provimento 65, art. 4º, § 8º)</w:t>
            </w:r>
          </w:p>
        </w:tc>
        <w:tc>
          <w:tcPr>
            <w:tcW w:type="dxa" w:w="2608"/>
          </w:tcPr>
          <w:p>
            <w:pPr>
              <w:jc w:val="left"/>
            </w:pPr>
            <w:r>
              <w:rPr>
                <w:b w:val="0"/>
                <w:sz w:val="24"/>
              </w:rPr>
              <w:t>Sem chamada de nota de rodapé no trecho transcrito.</w:t>
            </w:r>
          </w:p>
        </w:tc>
        <w:tc>
          <w:tcPr>
            <w:tcW w:type="dxa" w:w="2324"/>
          </w:tcPr>
          <w:p>
            <w:pPr>
              <w:jc w:val="left"/>
            </w:pPr>
            <w:r>
              <w:rPr>
                <w:b w:val="0"/>
                <w:sz w:val="24"/>
              </w:rPr>
              <w:t>Não verificado (TACHADO pendente). Nenhuma nota do NORMAL cita provimento posterior a 08/2025.</w:t>
            </w:r>
          </w:p>
        </w:tc>
      </w:tr>
      <w:tr>
        <w:tc>
          <w:tcPr>
            <w:tcW w:type="dxa" w:w="1417"/>
            <w:shd w:val="clear" w:color="auto" w:fill="DCE6F2"/>
          </w:tcPr>
          <w:p>
            <w:pPr>
              <w:jc w:val="left"/>
            </w:pPr>
            <w:r>
              <w:rPr>
                <w:b w:val="0"/>
                <w:sz w:val="24"/>
              </w:rPr>
              <w:t>Cap. XX</w:t>
            </w:r>
          </w:p>
        </w:tc>
        <w:tc>
          <w:tcPr>
            <w:tcW w:type="dxa" w:w="1587"/>
            <w:shd w:val="clear" w:color="auto" w:fill="DCE6F2"/>
          </w:tcPr>
          <w:p>
            <w:pPr>
              <w:jc w:val="left"/>
            </w:pPr>
            <w:r>
              <w:rPr>
                <w:b w:val="0"/>
                <w:sz w:val="24"/>
              </w:rPr>
              <w:t>422, caput e II</w:t>
            </w:r>
          </w:p>
          <w:p>
            <w:pPr>
              <w:jc w:val="left"/>
            </w:pPr>
            <w:r>
              <w:rPr>
                <w:b w:val="0"/>
                <w:sz w:val="24"/>
              </w:rPr>
              <w:t>Página 634 (636)</w:t>
            </w:r>
          </w:p>
        </w:tc>
        <w:tc>
          <w:tcPr>
            <w:tcW w:type="dxa" w:w="6633"/>
            <w:shd w:val="clear" w:color="auto" w:fill="DCE6F2"/>
          </w:tcPr>
          <w:p>
            <w:pPr>
              <w:jc w:val="both"/>
            </w:pPr>
            <w:r>
              <w:rPr>
                <w:b w:val="0"/>
                <w:sz w:val="24"/>
              </w:rPr>
              <w:t>422. O registro do reconhecimento extrajudicial da usucapião de imóvel rural somente será realizado após a apresentação: I – do recibo de inscrição do imóvel rural no Cadastro Ambiental Rural – CAR, de que trata o art. 29 da Lei n. 12.651, de 25 de maio de 2012, emitido por órgão ambiental competente, esteja ou não a reserva legal averbada na matrícula imobiliária, fazendo-se expressa referência, na matrícula, ao número de registro e à data de cadastro constantes daquele documento; II – do Certificado de Cadastro de Imóvel Rural – CCIR mais recente, emitido pelo Instituto Nacional de Colonização e Reforma Agrária – INCRA, devidamente quitado;</w:t>
            </w:r>
          </w:p>
        </w:tc>
        <w:tc>
          <w:tcPr>
            <w:tcW w:type="dxa" w:w="2608"/>
            <w:shd w:val="clear" w:color="auto" w:fill="DCE6F2"/>
          </w:tcPr>
          <w:p>
            <w:pPr>
              <w:jc w:val="left"/>
            </w:pPr>
            <w:r>
              <w:rPr>
                <w:b w:val="0"/>
                <w:sz w:val="24"/>
              </w:rPr>
              <w:t>Sem chamada de nota de rodapé no trecho transcrito.</w:t>
            </w:r>
          </w:p>
        </w:tc>
        <w:tc>
          <w:tcPr>
            <w:tcW w:type="dxa" w:w="2324"/>
            <w:shd w:val="clear" w:color="auto" w:fill="DCE6F2"/>
          </w:tcPr>
          <w:p>
            <w:pPr>
              <w:jc w:val="left"/>
            </w:pPr>
            <w:r>
              <w:rPr>
                <w:b w:val="0"/>
                <w:sz w:val="24"/>
              </w:rPr>
              <w:t>Não verificado (TACHADO pendente). Nenhuma nota do NORMAL cita provimento posterior a 08/2025.</w:t>
            </w:r>
          </w:p>
        </w:tc>
      </w:tr>
    </w:tbl>
    <w:p>
      <w:pPr>
        <w:pStyle w:val="Heading1"/>
      </w:pPr>
      <w:r>
        <w:t>4. Varredura de palavras-chave (648 páginas do NORMAL)</w:t>
      </w:r>
    </w:p>
    <w:tbl>
      <w:tblPr>
        <w:tblStyle w:val="TableGrid"/>
        <w:tblW w:type="auto" w:w="0"/>
        <w:tblLayout w:type="fixed"/>
        <w:tblLook w:firstColumn="1" w:firstRow="1" w:lastColumn="0" w:lastRow="0" w:noHBand="0" w:noVBand="1" w:val="04A0"/>
        <w:tblLayout w:type="fixed"/>
      </w:tblPr>
      <w:tblGrid>
        <w:gridCol w:w="2835"/>
        <w:gridCol w:w="11736"/>
      </w:tblGrid>
      <w:tr>
        <w:trPr>
          <w:tblHeader w:val="true"/>
        </w:trPr>
        <w:tc>
          <w:tcPr>
            <w:tcW w:type="dxa" w:w="2835"/>
            <w:shd w:val="clear" w:color="auto" w:fill="1F4E9A"/>
          </w:tcPr>
          <w:p>
            <w:pPr>
              <w:jc w:val="center"/>
            </w:pPr>
            <w:r>
              <w:rPr>
                <w:b/>
                <w:color w:val="FFFFFF"/>
                <w:sz w:val="24"/>
              </w:rPr>
              <w:t>Palavra-chave</w:t>
            </w:r>
          </w:p>
        </w:tc>
        <w:tc>
          <w:tcPr>
            <w:tcW w:type="dxa" w:w="11735"/>
            <w:shd w:val="clear" w:color="auto" w:fill="1F4E9A"/>
          </w:tcPr>
          <w:p>
            <w:pPr>
              <w:jc w:val="center"/>
            </w:pPr>
            <w:r>
              <w:rPr>
                <w:b/>
                <w:color w:val="FFFFFF"/>
                <w:sz w:val="24"/>
              </w:rPr>
              <w:t>Resultado</w:t>
            </w:r>
          </w:p>
        </w:tc>
      </w:tr>
      <w:tr>
        <w:tc>
          <w:tcPr>
            <w:tcW w:type="dxa" w:w="2835"/>
          </w:tcPr>
          <w:p>
            <w:pPr>
              <w:jc w:val="left"/>
            </w:pPr>
            <w:r>
              <w:rPr>
                <w:b w:val="0"/>
                <w:sz w:val="24"/>
              </w:rPr>
              <w:t>CCIR</w:t>
            </w:r>
          </w:p>
        </w:tc>
        <w:tc>
          <w:tcPr>
            <w:tcW w:type="dxa" w:w="11735"/>
          </w:tcPr>
          <w:p>
            <w:pPr>
              <w:jc w:val="both"/>
            </w:pPr>
            <w:r>
              <w:rPr>
                <w:b w:val="0"/>
                <w:sz w:val="24"/>
              </w:rPr>
              <w:t>9 páginas: 180, 182, 196, 199, 215, 216 (Cap. XVI); 464, 480, 634 (Cap. XX). Todas as ocorrências constam da tabela.</w:t>
            </w:r>
          </w:p>
        </w:tc>
      </w:tr>
      <w:tr>
        <w:tc>
          <w:tcPr>
            <w:tcW w:type="dxa" w:w="2835"/>
            <w:shd w:val="clear" w:color="auto" w:fill="DCE6F2"/>
          </w:tcPr>
          <w:p>
            <w:pPr>
              <w:jc w:val="left"/>
            </w:pPr>
            <w:r>
              <w:rPr>
                <w:b w:val="0"/>
                <w:sz w:val="24"/>
              </w:rPr>
              <w:t>Certificado de Cadastro</w:t>
            </w:r>
          </w:p>
        </w:tc>
        <w:tc>
          <w:tcPr>
            <w:tcW w:type="dxa" w:w="11735"/>
            <w:shd w:val="clear" w:color="auto" w:fill="DCE6F2"/>
          </w:tcPr>
          <w:p>
            <w:pPr>
              <w:jc w:val="both"/>
            </w:pPr>
            <w:r>
              <w:rPr>
                <w:b w:val="0"/>
                <w:sz w:val="24"/>
              </w:rPr>
              <w:t>180, 199 (Cap. XVI); 634 (Cap. XX).</w:t>
            </w:r>
          </w:p>
        </w:tc>
      </w:tr>
      <w:tr>
        <w:tc>
          <w:tcPr>
            <w:tcW w:type="dxa" w:w="2835"/>
          </w:tcPr>
          <w:p>
            <w:pPr>
              <w:jc w:val="left"/>
            </w:pPr>
            <w:r>
              <w:rPr>
                <w:b w:val="0"/>
                <w:sz w:val="24"/>
              </w:rPr>
              <w:t>ITR</w:t>
            </w:r>
          </w:p>
        </w:tc>
        <w:tc>
          <w:tcPr>
            <w:tcW w:type="dxa" w:w="11735"/>
          </w:tcPr>
          <w:p>
            <w:pPr>
              <w:jc w:val="both"/>
            </w:pPr>
            <w:r>
              <w:rPr>
                <w:b w:val="0"/>
                <w:sz w:val="24"/>
              </w:rPr>
              <w:t>180, 182, 199, 215 (Cap. XVI).</w:t>
            </w:r>
          </w:p>
        </w:tc>
      </w:tr>
      <w:tr>
        <w:tc>
          <w:tcPr>
            <w:tcW w:type="dxa" w:w="2835"/>
            <w:shd w:val="clear" w:color="auto" w:fill="DCE6F2"/>
          </w:tcPr>
          <w:p>
            <w:pPr>
              <w:jc w:val="left"/>
            </w:pPr>
            <w:r>
              <w:rPr>
                <w:b w:val="0"/>
                <w:sz w:val="24"/>
              </w:rPr>
              <w:t>Territorial Rural</w:t>
            </w:r>
          </w:p>
        </w:tc>
        <w:tc>
          <w:tcPr>
            <w:tcW w:type="dxa" w:w="11735"/>
            <w:shd w:val="clear" w:color="auto" w:fill="DCE6F2"/>
          </w:tcPr>
          <w:p>
            <w:pPr>
              <w:jc w:val="both"/>
            </w:pPr>
            <w:r>
              <w:rPr>
                <w:b w:val="0"/>
                <w:sz w:val="24"/>
              </w:rPr>
              <w:t>180, 185, 199 (Cap. XVI); 622 (Cap. XX, “imposto territorial rural”, item 416.16).</w:t>
            </w:r>
          </w:p>
        </w:tc>
      </w:tr>
      <w:tr>
        <w:tc>
          <w:tcPr>
            <w:tcW w:type="dxa" w:w="2835"/>
          </w:tcPr>
          <w:p>
            <w:pPr>
              <w:jc w:val="left"/>
            </w:pPr>
            <w:r>
              <w:rPr>
                <w:b w:val="0"/>
                <w:sz w:val="24"/>
              </w:rPr>
              <w:t>NIRF</w:t>
            </w:r>
          </w:p>
        </w:tc>
        <w:tc>
          <w:tcPr>
            <w:tcW w:type="dxa" w:w="11735"/>
          </w:tcPr>
          <w:p>
            <w:pPr>
              <w:jc w:val="both"/>
            </w:pPr>
            <w:r>
              <w:rPr>
                <w:b w:val="0"/>
                <w:sz w:val="24"/>
              </w:rPr>
              <w:t>196 (Cap. XVI, item 60, a.1); 480 (Cap. XX, item 93.3).</w:t>
            </w:r>
          </w:p>
        </w:tc>
      </w:tr>
      <w:tr>
        <w:tc>
          <w:tcPr>
            <w:tcW w:type="dxa" w:w="2835"/>
            <w:shd w:val="clear" w:color="auto" w:fill="DCE6F2"/>
          </w:tcPr>
          <w:p>
            <w:pPr>
              <w:jc w:val="left"/>
            </w:pPr>
            <w:r>
              <w:rPr>
                <w:b w:val="0"/>
                <w:sz w:val="24"/>
              </w:rPr>
              <w:t>CIB</w:t>
            </w:r>
          </w:p>
        </w:tc>
        <w:tc>
          <w:tcPr>
            <w:tcW w:type="dxa" w:w="11735"/>
            <w:shd w:val="clear" w:color="auto" w:fill="DCE6F2"/>
          </w:tcPr>
          <w:p>
            <w:pPr>
              <w:jc w:val="both"/>
            </w:pPr>
            <w:r>
              <w:rPr>
                <w:b w:val="0"/>
                <w:sz w:val="24"/>
              </w:rPr>
              <w:t>Nenhuma ocorrência.</w:t>
            </w:r>
          </w:p>
        </w:tc>
      </w:tr>
      <w:tr>
        <w:tc>
          <w:tcPr>
            <w:tcW w:type="dxa" w:w="2835"/>
          </w:tcPr>
          <w:p>
            <w:pPr>
              <w:jc w:val="left"/>
            </w:pPr>
            <w:r>
              <w:rPr>
                <w:b w:val="0"/>
                <w:sz w:val="24"/>
              </w:rPr>
              <w:t>CAFIR</w:t>
            </w:r>
          </w:p>
        </w:tc>
        <w:tc>
          <w:tcPr>
            <w:tcW w:type="dxa" w:w="11735"/>
          </w:tcPr>
          <w:p>
            <w:pPr>
              <w:jc w:val="both"/>
            </w:pPr>
            <w:r>
              <w:rPr>
                <w:b w:val="0"/>
                <w:sz w:val="24"/>
              </w:rPr>
              <w:t>Nenhuma ocorrência.</w:t>
            </w:r>
          </w:p>
        </w:tc>
      </w:tr>
      <w:tr>
        <w:tc>
          <w:tcPr>
            <w:tcW w:type="dxa" w:w="2835"/>
            <w:shd w:val="clear" w:color="auto" w:fill="DCE6F2"/>
          </w:tcPr>
          <w:p>
            <w:pPr>
              <w:jc w:val="left"/>
            </w:pPr>
            <w:r>
              <w:rPr>
                <w:b w:val="0"/>
                <w:sz w:val="24"/>
              </w:rPr>
              <w:t>quitação</w:t>
            </w:r>
          </w:p>
        </w:tc>
        <w:tc>
          <w:tcPr>
            <w:tcW w:type="dxa" w:w="11735"/>
            <w:shd w:val="clear" w:color="auto" w:fill="DCE6F2"/>
          </w:tcPr>
          <w:p>
            <w:pPr>
              <w:jc w:val="both"/>
            </w:pPr>
            <w:r>
              <w:rPr>
                <w:b w:val="0"/>
                <w:sz w:val="24"/>
              </w:rPr>
              <w:t>41 páginas. Pertinentes ao tema: itens 15 a), 31.1 b), 60 f), 60.2, 66 a) e 116 c) do Cap. XVI e 117.1 do Cap. XX. As demais tratam de quitação de preço, de compromisso de compra e venda, de alienação fiduciária etc., fora do escopo.</w:t>
            </w:r>
          </w:p>
        </w:tc>
      </w:tr>
      <w:tr>
        <w:tc>
          <w:tcPr>
            <w:tcW w:type="dxa" w:w="2835"/>
          </w:tcPr>
          <w:p>
            <w:pPr>
              <w:jc w:val="left"/>
            </w:pPr>
            <w:r>
              <w:rPr>
                <w:b w:val="0"/>
                <w:sz w:val="24"/>
              </w:rPr>
              <w:t>certidão negativa</w:t>
            </w:r>
          </w:p>
        </w:tc>
        <w:tc>
          <w:tcPr>
            <w:tcW w:type="dxa" w:w="11735"/>
          </w:tcPr>
          <w:p>
            <w:pPr>
              <w:jc w:val="both"/>
            </w:pPr>
            <w:r>
              <w:rPr>
                <w:b w:val="0"/>
                <w:sz w:val="24"/>
              </w:rPr>
              <w:t>10 ocorrências. Pertinentes: Cap. XVI, itens 43, 60.2 e 118 g); Cap. XX, itens 179 e 212/212.1. Fora do escopo: Cap. XV, item 110 (protesto: homonímia); Cap. XVII, itens 6.6 e 46.2 (Registro Civil); Cap. XIX, item 67.4 (RTD/RCPJ); Cap. XX, item 416.17 (certidões dos distribuidores na usucapião).</w:t>
            </w:r>
          </w:p>
        </w:tc>
      </w:tr>
      <w:tr>
        <w:tc>
          <w:tcPr>
            <w:tcW w:type="dxa" w:w="2835"/>
            <w:shd w:val="clear" w:color="auto" w:fill="DCE6F2"/>
          </w:tcPr>
          <w:p>
            <w:pPr>
              <w:jc w:val="left"/>
            </w:pPr>
            <w:r>
              <w:rPr>
                <w:b w:val="0"/>
                <w:sz w:val="24"/>
              </w:rPr>
              <w:t>CND</w:t>
            </w:r>
          </w:p>
        </w:tc>
        <w:tc>
          <w:tcPr>
            <w:tcW w:type="dxa" w:w="11735"/>
            <w:shd w:val="clear" w:color="auto" w:fill="DCE6F2"/>
          </w:tcPr>
          <w:p>
            <w:pPr>
              <w:jc w:val="both"/>
            </w:pPr>
            <w:r>
              <w:rPr>
                <w:b w:val="0"/>
                <w:sz w:val="24"/>
              </w:rPr>
              <w:t>Pág. 10 (tábua de abreviaturas: “CND – Certidão Negativa de Débito”) e item 116 e) do Cap. XVI (“CND-INSS”).</w:t>
            </w:r>
          </w:p>
        </w:tc>
      </w:tr>
      <w:tr>
        <w:tc>
          <w:tcPr>
            <w:tcW w:type="dxa" w:w="2835"/>
          </w:tcPr>
          <w:p>
            <w:pPr>
              <w:jc w:val="left"/>
            </w:pPr>
            <w:r>
              <w:rPr>
                <w:b w:val="0"/>
                <w:sz w:val="24"/>
              </w:rPr>
              <w:t>sanção política</w:t>
            </w:r>
          </w:p>
        </w:tc>
        <w:tc>
          <w:tcPr>
            <w:tcW w:type="dxa" w:w="11735"/>
          </w:tcPr>
          <w:p>
            <w:pPr>
              <w:jc w:val="both"/>
            </w:pPr>
            <w:r>
              <w:rPr>
                <w:b w:val="0"/>
                <w:sz w:val="24"/>
              </w:rPr>
              <w:t>Nenhuma ocorrência.</w:t>
            </w:r>
          </w:p>
        </w:tc>
      </w:tr>
      <w:tr>
        <w:tc>
          <w:tcPr>
            <w:tcW w:type="dxa" w:w="2835"/>
            <w:shd w:val="clear" w:color="auto" w:fill="DCE6F2"/>
          </w:tcPr>
          <w:p>
            <w:pPr>
              <w:jc w:val="left"/>
            </w:pPr>
            <w:r>
              <w:rPr>
                <w:b w:val="0"/>
                <w:sz w:val="24"/>
              </w:rPr>
              <w:t>informativo / informativa</w:t>
            </w:r>
          </w:p>
        </w:tc>
        <w:tc>
          <w:tcPr>
            <w:tcW w:type="dxa" w:w="11735"/>
            <w:shd w:val="clear" w:color="auto" w:fill="DCE6F2"/>
          </w:tcPr>
          <w:p>
            <w:pPr>
              <w:jc w:val="both"/>
            </w:pPr>
            <w:r>
              <w:rPr>
                <w:b w:val="0"/>
                <w:sz w:val="24"/>
              </w:rPr>
              <w:t>Nenhuma ocorrência. “Meramente” aparece só no Cap. XIII, item 13.1 (contratações “meramente repositórias”), e no Cap. XV (CIP: “informações meramente indicativas da existência ou inexistência de protesto”), sem relação com o tema.</w:t>
            </w:r>
          </w:p>
        </w:tc>
      </w:tr>
      <w:tr>
        <w:tc>
          <w:tcPr>
            <w:tcW w:type="dxa" w:w="2835"/>
          </w:tcPr>
          <w:p>
            <w:pPr>
              <w:jc w:val="left"/>
            </w:pPr>
            <w:r>
              <w:rPr>
                <w:b w:val="0"/>
                <w:sz w:val="24"/>
              </w:rPr>
              <w:t>CNJ</w:t>
            </w:r>
          </w:p>
        </w:tc>
        <w:tc>
          <w:tcPr>
            <w:tcW w:type="dxa" w:w="11735"/>
          </w:tcPr>
          <w:p>
            <w:pPr>
              <w:jc w:val="both"/>
            </w:pPr>
            <w:r>
              <w:rPr>
                <w:b w:val="0"/>
                <w:sz w:val="24"/>
              </w:rPr>
              <w:t>42 páginas, todas com referências gerais a provimentos/resoluções do CNJ (Corregedoria Nacional). Nenhuma ligada a CCIR, ITR ou certidões fiscais em escrituras ou registros rurais.</w:t>
            </w:r>
          </w:p>
        </w:tc>
      </w:tr>
      <w:tr>
        <w:tc>
          <w:tcPr>
            <w:tcW w:type="dxa" w:w="2835"/>
            <w:shd w:val="clear" w:color="auto" w:fill="DCE6F2"/>
          </w:tcPr>
          <w:p>
            <w:pPr>
              <w:jc w:val="left"/>
            </w:pPr>
            <w:r>
              <w:rPr>
                <w:b w:val="0"/>
                <w:sz w:val="24"/>
              </w:rPr>
              <w:t>0001611-12.2023</w:t>
            </w:r>
          </w:p>
        </w:tc>
        <w:tc>
          <w:tcPr>
            <w:tcW w:type="dxa" w:w="11735"/>
            <w:shd w:val="clear" w:color="auto" w:fill="DCE6F2"/>
          </w:tcPr>
          <w:p>
            <w:pPr>
              <w:jc w:val="both"/>
            </w:pPr>
            <w:r>
              <w:rPr>
                <w:b w:val="0"/>
                <w:sz w:val="24"/>
              </w:rPr>
              <w:t>Nenhuma ocorrência.</w:t>
            </w:r>
          </w:p>
        </w:tc>
      </w:tr>
      <w:tr>
        <w:tc>
          <w:tcPr>
            <w:tcW w:type="dxa" w:w="2835"/>
          </w:tcPr>
          <w:p>
            <w:pPr>
              <w:jc w:val="left"/>
            </w:pPr>
            <w:r>
              <w:rPr>
                <w:b w:val="0"/>
                <w:sz w:val="24"/>
              </w:rPr>
              <w:t>0010545-61.2020</w:t>
            </w:r>
          </w:p>
        </w:tc>
        <w:tc>
          <w:tcPr>
            <w:tcW w:type="dxa" w:w="11735"/>
          </w:tcPr>
          <w:p>
            <w:pPr>
              <w:jc w:val="both"/>
            </w:pPr>
            <w:r>
              <w:rPr>
                <w:b w:val="0"/>
                <w:sz w:val="24"/>
              </w:rPr>
              <w:t>Nenhuma ocorrência.</w:t>
            </w:r>
          </w:p>
        </w:tc>
      </w:tr>
      <w:tr>
        <w:tc>
          <w:tcPr>
            <w:tcW w:type="dxa" w:w="2835"/>
            <w:shd w:val="clear" w:color="auto" w:fill="DCE6F2"/>
          </w:tcPr>
          <w:p>
            <w:pPr>
              <w:jc w:val="left"/>
            </w:pPr>
            <w:r>
              <w:rPr>
                <w:b w:val="0"/>
                <w:sz w:val="24"/>
              </w:rPr>
              <w:t>0001230-82.2015</w:t>
            </w:r>
          </w:p>
        </w:tc>
        <w:tc>
          <w:tcPr>
            <w:tcW w:type="dxa" w:w="11735"/>
            <w:shd w:val="clear" w:color="auto" w:fill="DCE6F2"/>
          </w:tcPr>
          <w:p>
            <w:pPr>
              <w:jc w:val="both"/>
            </w:pPr>
            <w:r>
              <w:rPr>
                <w:b w:val="0"/>
                <w:sz w:val="24"/>
              </w:rPr>
              <w:t>Nenhuma ocorrência.</w:t>
            </w:r>
          </w:p>
        </w:tc>
      </w:tr>
    </w:tbl>
    <w:p>
      <w:pPr>
        <w:pStyle w:val="Heading1"/>
      </w:pPr>
      <w:r>
        <w:t>5. Comparação com o arquivo TACHADO</w:t>
      </w:r>
    </w:p>
    <w:p>
      <w:r>
        <w:t>Não realizada nesta versão. O TACHADO (7,3 MB) não pôde ser baixado do Google Drive; ver Pendências. Por isso a coluna “Alterado recentemente?” diz “não verificado”. O que o NORMAL permite afirmar: nenhuma das notas de rodapé dos dispositivos transcritos cita provimento posterior a agosto de 2025. As mais recentes são o Prov. CGJ 07/2023 (Cap. XX, itens 212/212.1) e o Proc. CG 2022/16159 (Cap. XVI, itens 31.1 e 60.2). Nota de rodapé não prova ausência de alteração; a confirmação depende do TACHADO.</w:t>
      </w:r>
    </w:p>
    <w:p>
      <w:pPr>
        <w:pStyle w:val="Heading1"/>
      </w:pPr>
      <w:r>
        <w:t>6. Resposta às perguntas</w:t>
      </w:r>
    </w:p>
    <w:p>
      <w:pPr>
        <w:pStyle w:val="Heading2"/>
      </w:pPr>
      <w:r>
        <w:t>(i) Número atual do antigo item 119.1 do Cap. XX</w:t>
      </w:r>
    </w:p>
    <w:p>
      <w:r>
        <w:t>No NORMAL (atualizado em 18/09/2026), o texto “Com exceção do recolhimento do imposto de transmissão e prova de recolhimento do laudêmio, quando devidos, nenhuma exigência relativa à quitação de débitos para com a Fazenda Pública […]” é o subitem 117.1 do Capítulo XX (páginas 488–489 do PDF; 490–491 impressas), subordinado ao item 117. Nota 1530: “CTN, art. 192; CPC, arts. 1.026 e 1.031 e Proc. CG 61.983/82; Apelação nº 0006907-12.2012.8.26.0344, Marília (SP); NSCGJSP, XVI, 59.2.”</w:t>
      </w:r>
    </w:p>
    <w:p>
      <w:r>
        <w:t>Observação: a nota 1530 remete a “NSCGJSP, XVI, 59.2”. No NORMAL, o 59.2 do Cap. XVI hoje trata de testamentos, e a dispensa de CND do INSS/RFB está no 60.2. A remissão da nota parece desatualizada. O NORMAL não informa qual provimento renumerou o antigo 119.1 para 117.1. No mesmo trecho, os itens 113 a 115.3 aparecem como “Suprimido”, com nota “Prov. 05/2023”, mas isso não basta para atribuir a renumeração.</w:t>
      </w:r>
    </w:p>
    <w:p>
      <w:pPr>
        <w:pStyle w:val="Heading2"/>
      </w:pPr>
      <w:r>
        <w:t>(ii) O tabelionato paulista ainda exige a quitação do ITR? Em qual item?</w:t>
      </w:r>
    </w:p>
    <w:p>
      <w:r>
        <w:t>Sim. No NORMAL vigente (18/09/2026), a exigência da “prova de quitação do Imposto sobre a Propriedade Territorial Rural – ITR correspondente aos últimos cinco anos” continua no Capítulo XVI:</w:t>
      </w:r>
    </w:p>
    <w:p>
      <w:pPr>
        <w:pStyle w:val="ListBullet"/>
      </w:pPr>
      <w:r>
        <w:t>item 66, alínea a (Subseção “Dos Imóveis Rurais”): requisito das escrituras relativas a imóveis rurais; nota 581, Prov. CGJ 7/13;</w:t>
      </w:r>
    </w:p>
    <w:p>
      <w:pPr>
        <w:pStyle w:val="ListBullet"/>
      </w:pPr>
      <w:r>
        <w:t>item 15, alínea a (arquivos do Tabelião): CCIR “com a prova de quitação do [...] ITR correspondente aos últimos cinco anos”; nota 495, Prov. CGJ 7/13;</w:t>
      </w:r>
    </w:p>
    <w:p>
      <w:pPr>
        <w:pStyle w:val="ListBullet"/>
      </w:pPr>
      <w:r>
        <w:t>item 116, alínea c (inventário e partilha extrajudiciais): CCIR e “prova de quitação do ITR correspondente aos últimos cinco anos”; nota 652, Prov. CG nº 24/13;</w:t>
      </w:r>
    </w:p>
    <w:p>
      <w:pPr>
        <w:pStyle w:val="ListBullet"/>
      </w:pPr>
      <w:r>
        <w:t>item 31.1, alínea b: arquivo de “certificados de cadastro do INCRA e prova de quitação do Imposto Territorial Rural”; nota 532, Proc. CG 2022/16159.</w:t>
      </w:r>
    </w:p>
    <w:p>
      <w:r>
        <w:t>A dispensa facultativa do item 60.2 alcança só as certidões negativas do INSS e da RFB e a certidão conjunta RFB/PGFN. O texto não menciona o ITR. Se houve mudança recente, ela não aparece no NORMAL vigente, e a verificação de texto riscado depende do TACHADO.</w:t>
      </w:r>
    </w:p>
    <w:p>
      <w:pPr>
        <w:pStyle w:val="Heading2"/>
      </w:pPr>
      <w:r>
        <w:t>(iii) Há previsão de certidão apenas informativa?</w:t>
      </w:r>
    </w:p>
    <w:p>
      <w:r>
        <w:t>Não encontrada. A varredura das 648 páginas não achou “informativo/informativa”, “sanção política” nem os números de processo 0001611-12.2023, 0010545-61.2020 e 0001230-82.2015. O mais próximo são as “informações meramente indicativas” da CIP (Cap. XV, protesto), sem relação com o tema. Nos dispositivos transcritos, o que existe é: dispensa facultativa de CNDs federais/previdenciárias pelo tabelião (Cap. XVI, 60.2); dispensa da prova de quitação de tributos municipais pelo adquirente, com declaração de responsabilidade (Cap. XVI, 60, f); proibição de o registrador exigir quitação de débitos com a Fazenda Pública, salvo imposto de transmissão e laudêmio (Cap. XX, 117.1).</w:t>
      </w:r>
    </w:p>
    <w:p>
      <w:pPr>
        <w:pStyle w:val="Heading1"/>
      </w:pPr>
      <w:r>
        <w:t>7. Pendências</w:t>
      </w:r>
    </w:p>
    <w:p>
      <w:pPr>
        <w:pStyle w:val="ListBullet"/>
      </w:pPr>
      <w:r>
        <w:t>TACHADO não lido. O download direto do TJSP (api.tjsp.jus.br) foi bloqueado pela política de rede do ambiente, e o download pelo Google Drive do arquivo de 7,3 MB falhou em todas as tentativas. Sem ele, não foi possível verificar texto riscado ou redação nova depois de agosto de 2025, nem indicar o provimento de cada alteração. Solução sugerida: subir o PDF no repositório (branch claude/ccir-itr-normas-cgjs-jpawl4) ou liberar o domínio api.tjsp.jus.br na rede do ambiente, para gerar a v2.</w:t>
      </w:r>
    </w:p>
    <w:p>
      <w:pPr>
        <w:pStyle w:val="ListBullet"/>
      </w:pPr>
      <w:r>
        <w:t>Averbação de georreferenciamento com menção a CCIR e ITR (Cap. XX): não encontrada. Os itens sobre georreferenciamento (57.2 e 57.3, transcritos) não mencionam CCIR nem ITR. As únicas ocorrências de CCIR no Cap. XX estão nos itens 57, II; 93.3 e 422, II.</w:t>
      </w:r>
    </w:p>
    <w:p>
      <w:pPr>
        <w:pStyle w:val="ListBullet"/>
      </w:pPr>
      <w:r>
        <w:t>CIB e CAFIR: nenhuma ocorrência. O item 66, a, fala só em “número fornecido pela Receita Federal do Brasil – RFB”; o NIRF aparece nos itens 60, a.1 (Cap. XVI) e 93.3 (Cap. XX).</w:t>
      </w:r>
    </w:p>
    <w:p>
      <w:pPr>
        <w:pStyle w:val="ListBullet"/>
      </w:pPr>
      <w:r>
        <w:t>Provimento que renumerou o antigo 119.1 para 117.1 (Cap. XX): não identificado no NORMAL.</w:t>
      </w:r>
    </w:p>
    <w:p>
      <w:pPr>
        <w:pStyle w:val="ListBullet"/>
      </w:pPr>
      <w:r>
        <w:t>Certidão “meramente informativa”, “sanção política” e os processos 0001611-12.2023, 0010545-61.2020 e 0001230-82.2015: não encontrados.</w:t>
      </w:r>
    </w:p>
    <w:p>
      <w:pPr>
        <w:pStyle w:val="ListBullet"/>
      </w:pPr>
      <w:r>
        <w:t>“Item 59” de escrituras de imóveis: no NORMAL, o 59 do Cap. XVI trata de testamentos. Os requisitos das escrituras de imóveis estão no item 60, e a dispensa de CND do INSS/RFB está no 60.2.</w:t>
      </w:r>
    </w:p>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Verdana" w:hAnsi="Verdana" w:eastAsia="Verdan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ascii="Verdana" w:hAnsi="Verdana" w:eastAsia="Verdana"/>
      <w:b/>
      <w:bCs/>
      <w:color w:val="1F4E9A"/>
      <w:sz w:val="32"/>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Verdana" w:hAnsi="Verdana" w:eastAsia="Verdana"/>
      <w:b/>
      <w:bCs/>
      <w:color w:val="1F4E9A"/>
      <w:sz w:val="28"/>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ascii="Verdana" w:hAnsi="Verdana" w:eastAsia="Verdana"/>
      <w:b/>
      <w:bCs/>
      <w:color w:val="1F4E9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left"/>
    </w:pPr>
    <w:rPr>
      <w:rFonts w:asciiTheme="majorHAnsi" w:eastAsiaTheme="majorEastAsia" w:hAnsiTheme="majorHAnsi" w:cstheme="majorBidi" w:ascii="Verdana" w:hAnsi="Verdana" w:eastAsia="Verdana"/>
      <w:b/>
      <w:color w:val="1F4E9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